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B3" w:rsidRDefault="00D031B3" w:rsidP="00D031B3">
      <w:pPr>
        <w:rPr>
          <w:rFonts w:ascii="Arial" w:hAnsi="Arial" w:cs="Arial"/>
          <w:b/>
          <w:sz w:val="32"/>
          <w:szCs w:val="32"/>
        </w:rPr>
      </w:pPr>
      <w:r w:rsidRPr="00D031B3">
        <w:rPr>
          <w:rFonts w:ascii="Arial" w:hAnsi="Arial" w:cs="Arial"/>
          <w:b/>
          <w:sz w:val="32"/>
          <w:szCs w:val="32"/>
        </w:rPr>
        <w:t xml:space="preserve">Privacy Notice </w:t>
      </w:r>
    </w:p>
    <w:p w:rsidR="00E15BB5" w:rsidRDefault="00E15BB5" w:rsidP="00E15BB5">
      <w:pPr>
        <w:rPr>
          <w:rFonts w:ascii="Arial" w:hAnsi="Arial" w:cs="Arial"/>
          <w:b/>
          <w:sz w:val="32"/>
          <w:szCs w:val="32"/>
        </w:rPr>
      </w:pPr>
      <w:r>
        <w:rPr>
          <w:rFonts w:ascii="Arial" w:hAnsi="Arial" w:cs="Arial"/>
          <w:b/>
          <w:sz w:val="24"/>
          <w:szCs w:val="24"/>
        </w:rPr>
        <w:t>Please be advised that not all of this data is shared with everyone listed. We only share data required for that particular function and only the minimum required.</w:t>
      </w:r>
    </w:p>
    <w:tbl>
      <w:tblPr>
        <w:tblStyle w:val="TableGrid"/>
        <w:tblW w:w="9016" w:type="dxa"/>
        <w:tblLook w:val="04A0" w:firstRow="1" w:lastRow="0" w:firstColumn="1" w:lastColumn="0" w:noHBand="0" w:noVBand="1"/>
      </w:tblPr>
      <w:tblGrid>
        <w:gridCol w:w="2039"/>
        <w:gridCol w:w="1235"/>
        <w:gridCol w:w="553"/>
        <w:gridCol w:w="1110"/>
        <w:gridCol w:w="694"/>
        <w:gridCol w:w="998"/>
        <w:gridCol w:w="553"/>
        <w:gridCol w:w="154"/>
        <w:gridCol w:w="1023"/>
        <w:gridCol w:w="103"/>
        <w:gridCol w:w="554"/>
      </w:tblGrid>
      <w:tr w:rsidR="0099362E" w:rsidRPr="00062414" w:rsidTr="00D658E0">
        <w:tc>
          <w:tcPr>
            <w:tcW w:w="2039" w:type="dxa"/>
            <w:shd w:val="clear" w:color="auto" w:fill="C5E0B3" w:themeFill="accent6" w:themeFillTint="66"/>
            <w:vAlign w:val="center"/>
          </w:tcPr>
          <w:p w:rsidR="0099362E" w:rsidRPr="00062414" w:rsidRDefault="0099362E" w:rsidP="00FA74C4">
            <w:pPr>
              <w:pStyle w:val="NoSpacing"/>
              <w:rPr>
                <w:lang w:val="en"/>
              </w:rPr>
            </w:pPr>
            <w:r>
              <w:rPr>
                <w:lang w:val="en"/>
              </w:rPr>
              <w:t>What is the service being provided?</w:t>
            </w:r>
          </w:p>
        </w:tc>
        <w:tc>
          <w:tcPr>
            <w:tcW w:w="6977" w:type="dxa"/>
            <w:gridSpan w:val="10"/>
            <w:shd w:val="clear" w:color="auto" w:fill="FFFFFF" w:themeFill="background1"/>
            <w:vAlign w:val="center"/>
          </w:tcPr>
          <w:p w:rsidR="0099362E" w:rsidRPr="00062414" w:rsidRDefault="00B438B9" w:rsidP="00B438B9">
            <w:pPr>
              <w:pStyle w:val="NoSpacing"/>
            </w:pPr>
            <w:r>
              <w:t>School Photos/Videos</w:t>
            </w:r>
          </w:p>
        </w:tc>
      </w:tr>
      <w:tr w:rsidR="0099362E" w:rsidRPr="00062414" w:rsidTr="00D658E0">
        <w:tc>
          <w:tcPr>
            <w:tcW w:w="2039" w:type="dxa"/>
            <w:shd w:val="clear" w:color="auto" w:fill="C5E0B3" w:themeFill="accent6" w:themeFillTint="66"/>
            <w:vAlign w:val="center"/>
          </w:tcPr>
          <w:p w:rsidR="0099362E" w:rsidRPr="00062414" w:rsidRDefault="0099362E" w:rsidP="00FA74C4">
            <w:pPr>
              <w:pStyle w:val="NoSpacing"/>
              <w:rPr>
                <w:lang w:val="en"/>
              </w:rPr>
            </w:pPr>
            <w:r>
              <w:rPr>
                <w:lang w:val="en"/>
              </w:rPr>
              <w:t>What personal data do we need from you?</w:t>
            </w:r>
          </w:p>
        </w:tc>
        <w:tc>
          <w:tcPr>
            <w:tcW w:w="6977" w:type="dxa"/>
            <w:gridSpan w:val="10"/>
            <w:shd w:val="clear" w:color="auto" w:fill="FFFFFF" w:themeFill="background1"/>
          </w:tcPr>
          <w:tbl>
            <w:tblPr>
              <w:tblStyle w:val="TableGrid"/>
              <w:tblW w:w="0" w:type="auto"/>
              <w:tblLook w:val="04A0" w:firstRow="1" w:lastRow="0" w:firstColumn="1" w:lastColumn="0" w:noHBand="0" w:noVBand="1"/>
            </w:tblPr>
            <w:tblGrid>
              <w:gridCol w:w="1686"/>
              <w:gridCol w:w="1686"/>
              <w:gridCol w:w="1687"/>
              <w:gridCol w:w="1687"/>
            </w:tblGrid>
            <w:tr w:rsidR="00957FC8" w:rsidTr="00957FC8">
              <w:tc>
                <w:tcPr>
                  <w:tcW w:w="1686" w:type="dxa"/>
                </w:tcPr>
                <w:p w:rsidR="00957FC8" w:rsidRPr="00957FC8" w:rsidRDefault="00937804" w:rsidP="00937804">
                  <w:pPr>
                    <w:pStyle w:val="NoSpacing"/>
                    <w:rPr>
                      <w:b/>
                    </w:rPr>
                  </w:pPr>
                  <w:r>
                    <w:rPr>
                      <w:b/>
                      <w:color w:val="FF0000"/>
                    </w:rPr>
                    <w:t>Personal Image</w:t>
                  </w:r>
                </w:p>
              </w:tc>
              <w:tc>
                <w:tcPr>
                  <w:tcW w:w="1686" w:type="dxa"/>
                </w:tcPr>
                <w:p w:rsidR="00957FC8" w:rsidRDefault="00957FC8" w:rsidP="00957FC8">
                  <w:pPr>
                    <w:pStyle w:val="NoSpacing"/>
                  </w:pPr>
                </w:p>
              </w:tc>
              <w:tc>
                <w:tcPr>
                  <w:tcW w:w="1687" w:type="dxa"/>
                </w:tcPr>
                <w:p w:rsidR="00957FC8" w:rsidRDefault="00957FC8" w:rsidP="00957FC8">
                  <w:pPr>
                    <w:pStyle w:val="NoSpacing"/>
                  </w:pPr>
                </w:p>
              </w:tc>
              <w:tc>
                <w:tcPr>
                  <w:tcW w:w="1687" w:type="dxa"/>
                </w:tcPr>
                <w:p w:rsidR="00957FC8" w:rsidRDefault="00957FC8" w:rsidP="00957FC8">
                  <w:pPr>
                    <w:pStyle w:val="NoSpacing"/>
                  </w:pPr>
                </w:p>
              </w:tc>
            </w:tr>
            <w:tr w:rsidR="00957FC8" w:rsidTr="00957FC8">
              <w:tc>
                <w:tcPr>
                  <w:tcW w:w="1686" w:type="dxa"/>
                </w:tcPr>
                <w:p w:rsidR="00957FC8" w:rsidRDefault="00957FC8" w:rsidP="00957FC8">
                  <w:pPr>
                    <w:pStyle w:val="NoSpacing"/>
                  </w:pPr>
                </w:p>
              </w:tc>
              <w:tc>
                <w:tcPr>
                  <w:tcW w:w="1686" w:type="dxa"/>
                </w:tcPr>
                <w:p w:rsidR="00957FC8" w:rsidRDefault="00957FC8" w:rsidP="00957FC8">
                  <w:pPr>
                    <w:pStyle w:val="NoSpacing"/>
                  </w:pPr>
                </w:p>
              </w:tc>
              <w:tc>
                <w:tcPr>
                  <w:tcW w:w="1687" w:type="dxa"/>
                </w:tcPr>
                <w:p w:rsidR="00957FC8" w:rsidRDefault="00957FC8" w:rsidP="00957FC8">
                  <w:pPr>
                    <w:pStyle w:val="NoSpacing"/>
                  </w:pPr>
                </w:p>
              </w:tc>
              <w:tc>
                <w:tcPr>
                  <w:tcW w:w="1687" w:type="dxa"/>
                </w:tcPr>
                <w:p w:rsidR="00957FC8" w:rsidRDefault="00957FC8" w:rsidP="00957FC8">
                  <w:pPr>
                    <w:pStyle w:val="NoSpacing"/>
                  </w:pPr>
                </w:p>
              </w:tc>
            </w:tr>
          </w:tbl>
          <w:p w:rsidR="0099362E" w:rsidRPr="00062414" w:rsidRDefault="0099362E" w:rsidP="00957FC8">
            <w:pPr>
              <w:pStyle w:val="NoSpacing"/>
            </w:pPr>
          </w:p>
        </w:tc>
      </w:tr>
      <w:tr w:rsidR="00D658E0" w:rsidRPr="00062414" w:rsidTr="00D658E0">
        <w:tc>
          <w:tcPr>
            <w:tcW w:w="2039" w:type="dxa"/>
            <w:vMerge w:val="restart"/>
            <w:shd w:val="clear" w:color="auto" w:fill="C5E0B3" w:themeFill="accent6" w:themeFillTint="66"/>
            <w:vAlign w:val="center"/>
          </w:tcPr>
          <w:p w:rsidR="00D658E0" w:rsidRPr="00062414" w:rsidRDefault="00D658E0" w:rsidP="00FA74C4">
            <w:pPr>
              <w:pStyle w:val="NoSpacing"/>
            </w:pPr>
            <w:r w:rsidRPr="00062414">
              <w:rPr>
                <w:lang w:val="en"/>
              </w:rPr>
              <w:t xml:space="preserve">Who </w:t>
            </w:r>
            <w:r>
              <w:rPr>
                <w:lang w:val="en"/>
              </w:rPr>
              <w:t xml:space="preserve">will be </w:t>
            </w:r>
            <w:r w:rsidRPr="00062414">
              <w:rPr>
                <w:lang w:val="en"/>
              </w:rPr>
              <w:t>using your Personal Data?</w:t>
            </w:r>
          </w:p>
        </w:tc>
        <w:tc>
          <w:tcPr>
            <w:tcW w:w="3592" w:type="dxa"/>
            <w:gridSpan w:val="4"/>
            <w:shd w:val="clear" w:color="auto" w:fill="E2EFD9" w:themeFill="accent6" w:themeFillTint="33"/>
            <w:vAlign w:val="center"/>
          </w:tcPr>
          <w:p w:rsidR="00D658E0" w:rsidRPr="00062414" w:rsidRDefault="00D658E0" w:rsidP="00D658E0">
            <w:pPr>
              <w:pStyle w:val="NoSpacing"/>
            </w:pPr>
            <w:r>
              <w:t>Who is t</w:t>
            </w:r>
            <w:r w:rsidRPr="00062414">
              <w:t xml:space="preserve">he </w:t>
            </w:r>
            <w:hyperlink w:anchor="DC" w:history="1">
              <w:r w:rsidRPr="00134B0B">
                <w:rPr>
                  <w:rStyle w:val="Hyperlink"/>
                </w:rPr>
                <w:t>Data Controller</w:t>
              </w:r>
            </w:hyperlink>
            <w:r>
              <w:t>?</w:t>
            </w:r>
          </w:p>
        </w:tc>
        <w:tc>
          <w:tcPr>
            <w:tcW w:w="3385" w:type="dxa"/>
            <w:gridSpan w:val="6"/>
            <w:vAlign w:val="center"/>
          </w:tcPr>
          <w:p w:rsidR="00D658E0" w:rsidRPr="00937804" w:rsidRDefault="00937804" w:rsidP="00FA74C4">
            <w:pPr>
              <w:pStyle w:val="NoSpacing"/>
              <w:rPr>
                <w:b/>
              </w:rPr>
            </w:pPr>
            <w:r w:rsidRPr="00937804">
              <w:rPr>
                <w:b/>
              </w:rPr>
              <w:t>Langar Church of England Primary School</w:t>
            </w:r>
          </w:p>
        </w:tc>
      </w:tr>
      <w:tr w:rsidR="00D658E0" w:rsidRPr="00062414" w:rsidTr="00D658E0">
        <w:tc>
          <w:tcPr>
            <w:tcW w:w="2039" w:type="dxa"/>
            <w:vMerge/>
            <w:shd w:val="clear" w:color="auto" w:fill="C5E0B3" w:themeFill="accent6" w:themeFillTint="66"/>
            <w:vAlign w:val="center"/>
          </w:tcPr>
          <w:p w:rsidR="00D658E0" w:rsidRPr="00062414" w:rsidRDefault="00D658E0" w:rsidP="00FA74C4">
            <w:pPr>
              <w:pStyle w:val="NoSpacing"/>
            </w:pPr>
          </w:p>
        </w:tc>
        <w:tc>
          <w:tcPr>
            <w:tcW w:w="3592" w:type="dxa"/>
            <w:gridSpan w:val="4"/>
            <w:shd w:val="clear" w:color="auto" w:fill="E2EFD9" w:themeFill="accent6" w:themeFillTint="33"/>
            <w:vAlign w:val="center"/>
          </w:tcPr>
          <w:p w:rsidR="00D658E0" w:rsidRDefault="00D658E0" w:rsidP="00FA74C4">
            <w:pPr>
              <w:pStyle w:val="NoSpacing"/>
            </w:pPr>
            <w:bookmarkStart w:id="0" w:name="Back1"/>
            <w:bookmarkEnd w:id="0"/>
            <w:r>
              <w:t>Who is t</w:t>
            </w:r>
            <w:r w:rsidRPr="00062414">
              <w:t xml:space="preserve">he </w:t>
            </w:r>
            <w:r>
              <w:t xml:space="preserve">Data </w:t>
            </w:r>
            <w:proofErr w:type="gramStart"/>
            <w:r w:rsidRPr="00062414">
              <w:t>Controller’s</w:t>
            </w:r>
            <w:proofErr w:type="gramEnd"/>
            <w:r w:rsidRPr="00062414">
              <w:t xml:space="preserve"> </w:t>
            </w:r>
          </w:p>
          <w:p w:rsidR="00D658E0" w:rsidRPr="00062414" w:rsidRDefault="004A7093" w:rsidP="00D658E0">
            <w:pPr>
              <w:pStyle w:val="NoSpacing"/>
            </w:pPr>
            <w:hyperlink w:anchor="DPO" w:history="1">
              <w:r w:rsidR="00D658E0" w:rsidRPr="00134B0B">
                <w:rPr>
                  <w:rStyle w:val="Hyperlink"/>
                </w:rPr>
                <w:t>Data Protection Officer</w:t>
              </w:r>
            </w:hyperlink>
            <w:r w:rsidR="00D658E0">
              <w:t>?</w:t>
            </w:r>
          </w:p>
        </w:tc>
        <w:tc>
          <w:tcPr>
            <w:tcW w:w="3385" w:type="dxa"/>
            <w:gridSpan w:val="6"/>
            <w:vAlign w:val="center"/>
          </w:tcPr>
          <w:p w:rsidR="00D658E0" w:rsidRPr="00096FA4" w:rsidRDefault="00937804" w:rsidP="00FA74C4">
            <w:pPr>
              <w:pStyle w:val="NoSpacing"/>
            </w:pPr>
            <w:r w:rsidRPr="00937804">
              <w:t>Alison George</w:t>
            </w:r>
          </w:p>
        </w:tc>
      </w:tr>
      <w:tr w:rsidR="00D658E0" w:rsidRPr="00062414" w:rsidTr="00D658E0">
        <w:trPr>
          <w:trHeight w:val="275"/>
        </w:trPr>
        <w:tc>
          <w:tcPr>
            <w:tcW w:w="2039" w:type="dxa"/>
            <w:vMerge/>
            <w:shd w:val="clear" w:color="auto" w:fill="C5E0B3" w:themeFill="accent6" w:themeFillTint="66"/>
            <w:vAlign w:val="center"/>
          </w:tcPr>
          <w:p w:rsidR="00D658E0" w:rsidRPr="00062414" w:rsidRDefault="00D658E0" w:rsidP="00D658E0">
            <w:pPr>
              <w:pStyle w:val="NoSpacing"/>
            </w:pPr>
          </w:p>
        </w:tc>
        <w:tc>
          <w:tcPr>
            <w:tcW w:w="3592" w:type="dxa"/>
            <w:gridSpan w:val="4"/>
            <w:shd w:val="clear" w:color="auto" w:fill="E2EFD9" w:themeFill="accent6" w:themeFillTint="33"/>
            <w:vAlign w:val="center"/>
          </w:tcPr>
          <w:p w:rsidR="00D658E0" w:rsidRDefault="00D658E0" w:rsidP="00D658E0">
            <w:pPr>
              <w:pStyle w:val="NoSpacing"/>
            </w:pPr>
            <w:bookmarkStart w:id="1" w:name="Back2"/>
            <w:bookmarkEnd w:id="1"/>
            <w:r>
              <w:t>Are there a</w:t>
            </w:r>
            <w:r w:rsidRPr="00062414">
              <w:t xml:space="preserve">ny </w:t>
            </w:r>
            <w:hyperlink w:anchor="DProc" w:history="1">
              <w:r w:rsidRPr="00134B0B">
                <w:rPr>
                  <w:rStyle w:val="Hyperlink"/>
                </w:rPr>
                <w:t>Data Processors</w:t>
              </w:r>
            </w:hyperlink>
            <w:r>
              <w:t xml:space="preserve">? </w:t>
            </w:r>
          </w:p>
        </w:tc>
        <w:tc>
          <w:tcPr>
            <w:tcW w:w="998" w:type="dxa"/>
            <w:shd w:val="clear" w:color="auto" w:fill="E2EFD9" w:themeFill="accent6" w:themeFillTint="33"/>
            <w:vAlign w:val="center"/>
          </w:tcPr>
          <w:p w:rsidR="00D658E0" w:rsidRPr="003B08B4" w:rsidRDefault="00D658E0" w:rsidP="00D658E0">
            <w:pPr>
              <w:pStyle w:val="NoSpacing"/>
              <w:jc w:val="center"/>
            </w:pPr>
            <w:r>
              <w:t>Yes</w:t>
            </w:r>
          </w:p>
        </w:tc>
        <w:sdt>
          <w:sdtPr>
            <w:rPr>
              <w:sz w:val="32"/>
              <w:szCs w:val="32"/>
            </w:rPr>
            <w:id w:val="241606542"/>
            <w14:checkbox>
              <w14:checked w14:val="1"/>
              <w14:checkedState w14:val="2612" w14:font="MS Gothic"/>
              <w14:uncheckedState w14:val="2610" w14:font="MS Gothic"/>
            </w14:checkbox>
          </w:sdtPr>
          <w:sdtEndPr/>
          <w:sdtContent>
            <w:tc>
              <w:tcPr>
                <w:tcW w:w="707" w:type="dxa"/>
                <w:gridSpan w:val="2"/>
                <w:shd w:val="clear" w:color="auto" w:fill="FFFFFF" w:themeFill="background1"/>
                <w:vAlign w:val="center"/>
              </w:tcPr>
              <w:p w:rsidR="00D658E0" w:rsidRPr="003B08B4" w:rsidRDefault="00957FC8" w:rsidP="00D658E0">
                <w:pPr>
                  <w:pStyle w:val="NoSpacing"/>
                  <w:jc w:val="center"/>
                  <w:rPr>
                    <w:sz w:val="32"/>
                    <w:szCs w:val="32"/>
                  </w:rPr>
                </w:pPr>
                <w:r>
                  <w:rPr>
                    <w:rFonts w:ascii="MS Gothic" w:eastAsia="MS Gothic" w:hAnsi="MS Gothic" w:hint="eastAsia"/>
                    <w:sz w:val="32"/>
                    <w:szCs w:val="32"/>
                  </w:rPr>
                  <w:t>☒</w:t>
                </w:r>
              </w:p>
            </w:tc>
          </w:sdtContent>
        </w:sdt>
        <w:tc>
          <w:tcPr>
            <w:tcW w:w="1023" w:type="dxa"/>
            <w:shd w:val="clear" w:color="auto" w:fill="E2EFD9" w:themeFill="accent6" w:themeFillTint="33"/>
            <w:vAlign w:val="center"/>
          </w:tcPr>
          <w:p w:rsidR="00D658E0" w:rsidRPr="003B08B4" w:rsidRDefault="00D658E0" w:rsidP="00D658E0">
            <w:pPr>
              <w:pStyle w:val="NoSpacing"/>
              <w:jc w:val="center"/>
            </w:pPr>
            <w:r>
              <w:t>No</w:t>
            </w:r>
          </w:p>
        </w:tc>
        <w:sdt>
          <w:sdtPr>
            <w:rPr>
              <w:sz w:val="32"/>
              <w:szCs w:val="32"/>
            </w:rPr>
            <w:id w:val="1851829876"/>
            <w14:checkbox>
              <w14:checked w14:val="0"/>
              <w14:checkedState w14:val="2612" w14:font="MS Gothic"/>
              <w14:uncheckedState w14:val="2610" w14:font="MS Gothic"/>
            </w14:checkbox>
          </w:sdtPr>
          <w:sdtEndPr/>
          <w:sdtContent>
            <w:tc>
              <w:tcPr>
                <w:tcW w:w="657" w:type="dxa"/>
                <w:gridSpan w:val="2"/>
                <w:shd w:val="clear" w:color="auto" w:fill="FFFFFF" w:themeFill="background1"/>
                <w:vAlign w:val="center"/>
              </w:tcPr>
              <w:p w:rsidR="00D658E0" w:rsidRPr="003B08B4" w:rsidRDefault="00D658E0" w:rsidP="00D658E0">
                <w:pPr>
                  <w:pStyle w:val="NoSpacing"/>
                  <w:jc w:val="center"/>
                  <w:rPr>
                    <w:sz w:val="32"/>
                    <w:szCs w:val="32"/>
                  </w:rPr>
                </w:pPr>
                <w:r w:rsidRPr="003B08B4">
                  <w:rPr>
                    <w:rFonts w:ascii="MS Gothic" w:eastAsia="MS Gothic" w:hAnsi="MS Gothic" w:hint="eastAsia"/>
                    <w:sz w:val="32"/>
                    <w:szCs w:val="32"/>
                  </w:rPr>
                  <w:t>☐</w:t>
                </w:r>
              </w:p>
            </w:tc>
          </w:sdtContent>
        </w:sdt>
      </w:tr>
      <w:tr w:rsidR="00D658E0" w:rsidRPr="00062414" w:rsidTr="00D658E0">
        <w:trPr>
          <w:trHeight w:val="275"/>
        </w:trPr>
        <w:tc>
          <w:tcPr>
            <w:tcW w:w="2039" w:type="dxa"/>
            <w:vMerge/>
            <w:shd w:val="clear" w:color="auto" w:fill="C5E0B3" w:themeFill="accent6" w:themeFillTint="66"/>
            <w:vAlign w:val="center"/>
          </w:tcPr>
          <w:p w:rsidR="00D658E0" w:rsidRPr="00062414" w:rsidRDefault="00D658E0" w:rsidP="00FA74C4">
            <w:pPr>
              <w:pStyle w:val="NoSpacing"/>
            </w:pPr>
          </w:p>
        </w:tc>
        <w:tc>
          <w:tcPr>
            <w:tcW w:w="3592" w:type="dxa"/>
            <w:gridSpan w:val="4"/>
            <w:shd w:val="clear" w:color="auto" w:fill="E2EFD9" w:themeFill="accent6" w:themeFillTint="33"/>
            <w:vAlign w:val="center"/>
          </w:tcPr>
          <w:p w:rsidR="00D658E0" w:rsidRDefault="00D658E0" w:rsidP="00D658E0">
            <w:pPr>
              <w:pStyle w:val="NoSpacing"/>
            </w:pPr>
            <w:r>
              <w:t>Who are they?</w:t>
            </w:r>
          </w:p>
        </w:tc>
        <w:tc>
          <w:tcPr>
            <w:tcW w:w="3385" w:type="dxa"/>
            <w:gridSpan w:val="6"/>
            <w:shd w:val="clear" w:color="auto" w:fill="FFFFFF" w:themeFill="background1"/>
            <w:vAlign w:val="center"/>
          </w:tcPr>
          <w:p w:rsidR="00D658E0" w:rsidRPr="00957FC8" w:rsidRDefault="00096FA4" w:rsidP="00937804">
            <w:pPr>
              <w:pStyle w:val="NoSpacing"/>
              <w:rPr>
                <w:b/>
              </w:rPr>
            </w:pPr>
            <w:r w:rsidRPr="00937804">
              <w:rPr>
                <w:b/>
              </w:rPr>
              <w:t>SIMS</w:t>
            </w:r>
            <w:r w:rsidR="00937804" w:rsidRPr="00937804">
              <w:rPr>
                <w:b/>
              </w:rPr>
              <w:t>, Transact (</w:t>
            </w:r>
            <w:proofErr w:type="spellStart"/>
            <w:r w:rsidR="00937804" w:rsidRPr="00937804">
              <w:rPr>
                <w:b/>
              </w:rPr>
              <w:t>sQuid</w:t>
            </w:r>
            <w:proofErr w:type="spellEnd"/>
            <w:r w:rsidR="00937804" w:rsidRPr="00937804">
              <w:rPr>
                <w:b/>
              </w:rPr>
              <w:t>)</w:t>
            </w:r>
            <w:r w:rsidR="004A7093">
              <w:rPr>
                <w:b/>
              </w:rPr>
              <w:t xml:space="preserve">, </w:t>
            </w:r>
            <w:proofErr w:type="spellStart"/>
            <w:r w:rsidR="004A7093">
              <w:rPr>
                <w:b/>
              </w:rPr>
              <w:t>Eazmag</w:t>
            </w:r>
            <w:proofErr w:type="spellEnd"/>
            <w:r w:rsidR="004A7093">
              <w:rPr>
                <w:b/>
              </w:rPr>
              <w:t>, Primary Site (school website)</w:t>
            </w:r>
          </w:p>
        </w:tc>
      </w:tr>
      <w:tr w:rsidR="00D031B3" w:rsidRPr="00062414" w:rsidTr="00D658E0">
        <w:tc>
          <w:tcPr>
            <w:tcW w:w="2039" w:type="dxa"/>
            <w:vMerge w:val="restart"/>
            <w:shd w:val="clear" w:color="auto" w:fill="C5E0B3" w:themeFill="accent6" w:themeFillTint="66"/>
            <w:vAlign w:val="center"/>
          </w:tcPr>
          <w:p w:rsidR="00D031B3" w:rsidRPr="00062414" w:rsidRDefault="00D031B3" w:rsidP="00D031B3">
            <w:pPr>
              <w:pStyle w:val="NoSpacing"/>
            </w:pPr>
            <w:r w:rsidRPr="00062414">
              <w:t xml:space="preserve">What </w:t>
            </w:r>
            <w:r>
              <w:t>will</w:t>
            </w:r>
            <w:r w:rsidRPr="00062414">
              <w:t xml:space="preserve"> it be used for</w:t>
            </w:r>
            <w:r>
              <w:t xml:space="preserve"> and what gives us the right to ask for it and use it?</w:t>
            </w:r>
          </w:p>
        </w:tc>
        <w:bookmarkStart w:id="2" w:name="Back3"/>
        <w:bookmarkEnd w:id="2"/>
        <w:tc>
          <w:tcPr>
            <w:tcW w:w="3592" w:type="dxa"/>
            <w:gridSpan w:val="4"/>
            <w:shd w:val="clear" w:color="auto" w:fill="E2EFD9" w:themeFill="accent6" w:themeFillTint="33"/>
            <w:vAlign w:val="center"/>
          </w:tcPr>
          <w:p w:rsidR="00D031B3" w:rsidRPr="00062414" w:rsidRDefault="00134B0B" w:rsidP="00FA74C4">
            <w:pPr>
              <w:pStyle w:val="NoSpacing"/>
            </w:pPr>
            <w:r>
              <w:fldChar w:fldCharType="begin"/>
            </w:r>
            <w:r>
              <w:instrText xml:space="preserve"> HYPERLINK  \l "Purps" </w:instrText>
            </w:r>
            <w:r>
              <w:fldChar w:fldCharType="separate"/>
            </w:r>
            <w:r w:rsidR="00D031B3" w:rsidRPr="00134B0B">
              <w:rPr>
                <w:rStyle w:val="Hyperlink"/>
              </w:rPr>
              <w:t>The Purpose</w:t>
            </w:r>
            <w:r>
              <w:fldChar w:fldCharType="end"/>
            </w:r>
            <w:r w:rsidR="00D031B3">
              <w:t>(s):</w:t>
            </w:r>
          </w:p>
        </w:tc>
        <w:tc>
          <w:tcPr>
            <w:tcW w:w="3385" w:type="dxa"/>
            <w:gridSpan w:val="6"/>
            <w:vAlign w:val="center"/>
          </w:tcPr>
          <w:p w:rsidR="00D031B3" w:rsidRPr="00062414" w:rsidRDefault="00957FC8" w:rsidP="00FA74C4">
            <w:pPr>
              <w:pStyle w:val="NoSpacing"/>
            </w:pPr>
            <w:r>
              <w:t>To enhance education provision, inclusion and recreation</w:t>
            </w:r>
          </w:p>
        </w:tc>
      </w:tr>
      <w:tr w:rsidR="00D031B3" w:rsidRPr="00062414" w:rsidTr="00D658E0">
        <w:tc>
          <w:tcPr>
            <w:tcW w:w="2039" w:type="dxa"/>
            <w:vMerge/>
            <w:shd w:val="clear" w:color="auto" w:fill="C5E0B3" w:themeFill="accent6" w:themeFillTint="66"/>
            <w:vAlign w:val="center"/>
          </w:tcPr>
          <w:p w:rsidR="00D031B3" w:rsidRPr="00062414" w:rsidRDefault="00D031B3" w:rsidP="00FA74C4">
            <w:pPr>
              <w:pStyle w:val="NoSpacing"/>
            </w:pPr>
          </w:p>
        </w:tc>
        <w:tc>
          <w:tcPr>
            <w:tcW w:w="3592" w:type="dxa"/>
            <w:gridSpan w:val="4"/>
            <w:shd w:val="clear" w:color="auto" w:fill="E2EFD9" w:themeFill="accent6" w:themeFillTint="33"/>
            <w:vAlign w:val="center"/>
          </w:tcPr>
          <w:p w:rsidR="00D031B3" w:rsidRPr="00062414" w:rsidRDefault="00D031B3" w:rsidP="00FA74C4">
            <w:pPr>
              <w:pStyle w:val="NoSpacing"/>
            </w:pPr>
            <w:bookmarkStart w:id="3" w:name="Back4"/>
            <w:bookmarkEnd w:id="3"/>
            <w:r>
              <w:t xml:space="preserve">The </w:t>
            </w:r>
            <w:hyperlink w:anchor="LegCond" w:history="1">
              <w:r w:rsidRPr="00134B0B">
                <w:rPr>
                  <w:rStyle w:val="Hyperlink"/>
                </w:rPr>
                <w:t>Legal Condition</w:t>
              </w:r>
            </w:hyperlink>
            <w:r>
              <w:t>(s):</w:t>
            </w:r>
          </w:p>
        </w:tc>
        <w:tc>
          <w:tcPr>
            <w:tcW w:w="3385" w:type="dxa"/>
            <w:gridSpan w:val="6"/>
            <w:vAlign w:val="center"/>
          </w:tcPr>
          <w:p w:rsidR="00D031B3" w:rsidRPr="00062414" w:rsidRDefault="00957FC8" w:rsidP="00957FC8">
            <w:pPr>
              <w:pStyle w:val="NoSpacing"/>
            </w:pPr>
            <w:r>
              <w:t>Consent</w:t>
            </w:r>
          </w:p>
        </w:tc>
      </w:tr>
      <w:tr w:rsidR="00D031B3" w:rsidRPr="00062414" w:rsidTr="00D658E0">
        <w:tc>
          <w:tcPr>
            <w:tcW w:w="2039" w:type="dxa"/>
            <w:vMerge/>
            <w:shd w:val="clear" w:color="auto" w:fill="C5E0B3" w:themeFill="accent6" w:themeFillTint="66"/>
            <w:vAlign w:val="center"/>
          </w:tcPr>
          <w:p w:rsidR="00D031B3" w:rsidRPr="00062414" w:rsidRDefault="00D031B3" w:rsidP="00FA74C4">
            <w:pPr>
              <w:pStyle w:val="NoSpacing"/>
            </w:pPr>
          </w:p>
        </w:tc>
        <w:tc>
          <w:tcPr>
            <w:tcW w:w="6977" w:type="dxa"/>
            <w:gridSpan w:val="10"/>
            <w:shd w:val="clear" w:color="auto" w:fill="E2EFD9" w:themeFill="accent6" w:themeFillTint="33"/>
            <w:vAlign w:val="center"/>
          </w:tcPr>
          <w:p w:rsidR="00D031B3" w:rsidRPr="00B438B9" w:rsidRDefault="00D031B3" w:rsidP="00FA74C4">
            <w:pPr>
              <w:pStyle w:val="NoSpacing"/>
              <w:rPr>
                <w:b/>
              </w:rPr>
            </w:pPr>
            <w:r w:rsidRPr="00B438B9">
              <w:rPr>
                <w:b/>
                <w:sz w:val="22"/>
              </w:rPr>
              <w:t>You may withdraw your consent at any time by contacting us</w:t>
            </w:r>
          </w:p>
        </w:tc>
      </w:tr>
      <w:tr w:rsidR="00D031B3" w:rsidRPr="00062414" w:rsidTr="00D658E0">
        <w:tc>
          <w:tcPr>
            <w:tcW w:w="5631" w:type="dxa"/>
            <w:gridSpan w:val="5"/>
            <w:shd w:val="clear" w:color="auto" w:fill="C5E0B3" w:themeFill="accent6" w:themeFillTint="66"/>
            <w:vAlign w:val="center"/>
          </w:tcPr>
          <w:p w:rsidR="00D031B3" w:rsidRPr="00062414" w:rsidRDefault="00D031B3" w:rsidP="00FA74C4">
            <w:pPr>
              <w:pStyle w:val="NoSpacing"/>
            </w:pPr>
            <w:r w:rsidRPr="00062414">
              <w:t xml:space="preserve">Who else might </w:t>
            </w:r>
            <w:r>
              <w:t>we share your data with</w:t>
            </w:r>
            <w:r w:rsidRPr="00062414">
              <w:t>?</w:t>
            </w:r>
          </w:p>
        </w:tc>
        <w:tc>
          <w:tcPr>
            <w:tcW w:w="3385" w:type="dxa"/>
            <w:gridSpan w:val="6"/>
            <w:vAlign w:val="center"/>
          </w:tcPr>
          <w:p w:rsidR="00D031B3" w:rsidRPr="00957FC8" w:rsidRDefault="00937804" w:rsidP="00FA74C4">
            <w:pPr>
              <w:pStyle w:val="NoSpacing"/>
              <w:rPr>
                <w:b/>
              </w:rPr>
            </w:pPr>
            <w:r w:rsidRPr="00937804">
              <w:rPr>
                <w:b/>
              </w:rPr>
              <w:t xml:space="preserve">Newark Advertiser, The </w:t>
            </w:r>
            <w:proofErr w:type="spellStart"/>
            <w:r w:rsidRPr="00937804">
              <w:rPr>
                <w:b/>
              </w:rPr>
              <w:t>Wiverton</w:t>
            </w:r>
            <w:proofErr w:type="spellEnd"/>
            <w:r w:rsidRPr="00937804">
              <w:rPr>
                <w:b/>
              </w:rPr>
              <w:t xml:space="preserve"> News, Nottingham Evening Post</w:t>
            </w:r>
            <w:r w:rsidR="004A7093">
              <w:rPr>
                <w:b/>
              </w:rPr>
              <w:t>, Grantham Journal, local business publications (TARMAC)</w:t>
            </w:r>
          </w:p>
        </w:tc>
        <w:bookmarkStart w:id="4" w:name="_GoBack"/>
        <w:bookmarkEnd w:id="4"/>
      </w:tr>
      <w:tr w:rsidR="00D031B3" w:rsidRPr="00062414" w:rsidTr="00D658E0">
        <w:tc>
          <w:tcPr>
            <w:tcW w:w="5631" w:type="dxa"/>
            <w:gridSpan w:val="5"/>
            <w:shd w:val="clear" w:color="auto" w:fill="C5E0B3" w:themeFill="accent6" w:themeFillTint="66"/>
            <w:vAlign w:val="center"/>
          </w:tcPr>
          <w:p w:rsidR="00D031B3" w:rsidRPr="00062414" w:rsidRDefault="00D031B3" w:rsidP="00FA74C4">
            <w:pPr>
              <w:pStyle w:val="NoSpacing"/>
            </w:pPr>
            <w:r w:rsidRPr="00062414">
              <w:t xml:space="preserve">Will </w:t>
            </w:r>
            <w:r>
              <w:t>your data</w:t>
            </w:r>
            <w:r w:rsidRPr="00062414">
              <w:t xml:space="preserve"> be stored in or accessible from </w:t>
            </w:r>
            <w:hyperlink w:anchor="EEA" w:history="1">
              <w:r w:rsidRPr="00134B0B">
                <w:rPr>
                  <w:rStyle w:val="Hyperlink"/>
                </w:rPr>
                <w:t>countries with no UK-equivalent</w:t>
              </w:r>
            </w:hyperlink>
            <w:r w:rsidRPr="00062414">
              <w:t xml:space="preserve"> Privacy Law protections?</w:t>
            </w:r>
          </w:p>
        </w:tc>
        <w:tc>
          <w:tcPr>
            <w:tcW w:w="3385" w:type="dxa"/>
            <w:gridSpan w:val="6"/>
            <w:vAlign w:val="center"/>
          </w:tcPr>
          <w:p w:rsidR="00D031B3" w:rsidRPr="00B438B9" w:rsidRDefault="00937804" w:rsidP="00FA74C4">
            <w:pPr>
              <w:pStyle w:val="NoSpacing"/>
              <w:rPr>
                <w:b/>
                <w:color w:val="FF0000"/>
              </w:rPr>
            </w:pPr>
            <w:r w:rsidRPr="00937804">
              <w:rPr>
                <w:b/>
              </w:rPr>
              <w:t>No</w:t>
            </w:r>
          </w:p>
        </w:tc>
      </w:tr>
      <w:tr w:rsidR="00D031B3" w:rsidRPr="00062414" w:rsidTr="00D658E0">
        <w:tc>
          <w:tcPr>
            <w:tcW w:w="2039" w:type="dxa"/>
            <w:vMerge w:val="restart"/>
            <w:shd w:val="clear" w:color="auto" w:fill="C5E0B3" w:themeFill="accent6" w:themeFillTint="66"/>
            <w:vAlign w:val="center"/>
          </w:tcPr>
          <w:p w:rsidR="00D031B3" w:rsidRPr="00062414" w:rsidRDefault="00D031B3" w:rsidP="00FA74C4">
            <w:pPr>
              <w:pStyle w:val="NoSpacing"/>
            </w:pPr>
            <w:r>
              <w:t>How long will your data be kept?</w:t>
            </w:r>
          </w:p>
        </w:tc>
        <w:tc>
          <w:tcPr>
            <w:tcW w:w="3592" w:type="dxa"/>
            <w:gridSpan w:val="4"/>
            <w:shd w:val="clear" w:color="auto" w:fill="E2EFD9" w:themeFill="accent6" w:themeFillTint="33"/>
            <w:vAlign w:val="center"/>
          </w:tcPr>
          <w:p w:rsidR="00D031B3" w:rsidRPr="00062414" w:rsidRDefault="00D031B3" w:rsidP="00FA74C4">
            <w:pPr>
              <w:pStyle w:val="NoSpacing"/>
            </w:pPr>
            <w:r>
              <w:t>When will it stop being used?</w:t>
            </w:r>
          </w:p>
        </w:tc>
        <w:tc>
          <w:tcPr>
            <w:tcW w:w="3385" w:type="dxa"/>
            <w:gridSpan w:val="6"/>
            <w:vAlign w:val="center"/>
          </w:tcPr>
          <w:p w:rsidR="004A7093" w:rsidRDefault="00293C1A" w:rsidP="004A7093">
            <w:pPr>
              <w:pStyle w:val="NoSpacing"/>
              <w:rPr>
                <w:b/>
              </w:rPr>
            </w:pPr>
            <w:r w:rsidRPr="00937804">
              <w:rPr>
                <w:b/>
              </w:rPr>
              <w:t>Photos</w:t>
            </w:r>
            <w:r w:rsidR="00937804" w:rsidRPr="00937804">
              <w:rPr>
                <w:b/>
              </w:rPr>
              <w:t xml:space="preserve"> = </w:t>
            </w:r>
            <w:r w:rsidR="004A7093">
              <w:rPr>
                <w:b/>
              </w:rPr>
              <w:t>indefinitely</w:t>
            </w:r>
          </w:p>
          <w:p w:rsidR="00957FC8" w:rsidRPr="00062414" w:rsidRDefault="00293C1A" w:rsidP="004A7093">
            <w:pPr>
              <w:pStyle w:val="NoSpacing"/>
            </w:pPr>
            <w:r w:rsidRPr="00937804">
              <w:rPr>
                <w:b/>
              </w:rPr>
              <w:t>Videos</w:t>
            </w:r>
            <w:r w:rsidR="00957FC8" w:rsidRPr="00937804">
              <w:rPr>
                <w:b/>
              </w:rPr>
              <w:t xml:space="preserve"> = </w:t>
            </w:r>
            <w:r w:rsidR="004A7093">
              <w:rPr>
                <w:b/>
              </w:rPr>
              <w:t>indefinitely</w:t>
            </w:r>
          </w:p>
        </w:tc>
      </w:tr>
      <w:tr w:rsidR="00D031B3" w:rsidRPr="00062414" w:rsidTr="00D658E0">
        <w:tc>
          <w:tcPr>
            <w:tcW w:w="2039" w:type="dxa"/>
            <w:vMerge/>
            <w:shd w:val="clear" w:color="auto" w:fill="C5E0B3" w:themeFill="accent6" w:themeFillTint="66"/>
            <w:vAlign w:val="center"/>
          </w:tcPr>
          <w:p w:rsidR="00D031B3" w:rsidRPr="00062414" w:rsidRDefault="00D031B3" w:rsidP="00FA74C4">
            <w:pPr>
              <w:pStyle w:val="NoSpacing"/>
            </w:pPr>
          </w:p>
        </w:tc>
        <w:tc>
          <w:tcPr>
            <w:tcW w:w="3592" w:type="dxa"/>
            <w:gridSpan w:val="4"/>
            <w:shd w:val="clear" w:color="auto" w:fill="E2EFD9" w:themeFill="accent6" w:themeFillTint="33"/>
            <w:vAlign w:val="center"/>
          </w:tcPr>
          <w:p w:rsidR="00D031B3" w:rsidRPr="00062414" w:rsidRDefault="00D031B3" w:rsidP="00FA74C4">
            <w:pPr>
              <w:pStyle w:val="NoSpacing"/>
            </w:pPr>
            <w:r>
              <w:t>How long after this will it be deleted?</w:t>
            </w:r>
          </w:p>
        </w:tc>
        <w:tc>
          <w:tcPr>
            <w:tcW w:w="3385" w:type="dxa"/>
            <w:gridSpan w:val="6"/>
            <w:vAlign w:val="center"/>
          </w:tcPr>
          <w:p w:rsidR="00D031B3" w:rsidRPr="00062414" w:rsidRDefault="00957FC8" w:rsidP="00FA74C4">
            <w:pPr>
              <w:pStyle w:val="NoSpacing"/>
            </w:pPr>
            <w:r>
              <w:t>As above</w:t>
            </w:r>
          </w:p>
        </w:tc>
      </w:tr>
      <w:tr w:rsidR="00D031B3" w:rsidRPr="00062414" w:rsidTr="00D658E0">
        <w:trPr>
          <w:trHeight w:val="740"/>
        </w:trPr>
        <w:tc>
          <w:tcPr>
            <w:tcW w:w="2039" w:type="dxa"/>
            <w:vMerge w:val="restart"/>
            <w:shd w:val="clear" w:color="auto" w:fill="C5E0B3" w:themeFill="accent6" w:themeFillTint="66"/>
            <w:vAlign w:val="center"/>
          </w:tcPr>
          <w:p w:rsidR="00D031B3" w:rsidRPr="00062414" w:rsidRDefault="00D031B3" w:rsidP="00FA74C4">
            <w:pPr>
              <w:pStyle w:val="NoSpacing"/>
            </w:pPr>
            <w:r>
              <w:t>Our use of the data will be subject to your legal rights (marked if applicable):</w:t>
            </w:r>
          </w:p>
        </w:tc>
        <w:bookmarkStart w:id="5" w:name="Back6"/>
        <w:bookmarkEnd w:id="5"/>
        <w:tc>
          <w:tcPr>
            <w:tcW w:w="1235" w:type="dxa"/>
            <w:shd w:val="clear" w:color="auto" w:fill="E2EFD9" w:themeFill="accent6" w:themeFillTint="33"/>
            <w:vAlign w:val="center"/>
          </w:tcPr>
          <w:p w:rsidR="00D031B3" w:rsidRPr="003B08B4" w:rsidRDefault="00134B0B" w:rsidP="00FA74C4">
            <w:pPr>
              <w:pStyle w:val="NoSpacing"/>
              <w:jc w:val="center"/>
            </w:pPr>
            <w:r>
              <w:fldChar w:fldCharType="begin"/>
            </w:r>
            <w:r>
              <w:instrText xml:space="preserve"> HYPERLINK  \l "Inform" </w:instrText>
            </w:r>
            <w:r>
              <w:fldChar w:fldCharType="separate"/>
            </w:r>
            <w:r w:rsidR="00D031B3" w:rsidRPr="00134B0B">
              <w:rPr>
                <w:rStyle w:val="Hyperlink"/>
              </w:rPr>
              <w:t>Inform</w:t>
            </w:r>
            <w:r>
              <w:fldChar w:fldCharType="end"/>
            </w:r>
            <w:bookmarkStart w:id="6" w:name="Back7"/>
            <w:bookmarkEnd w:id="6"/>
          </w:p>
        </w:tc>
        <w:sdt>
          <w:sdtPr>
            <w:rPr>
              <w:sz w:val="32"/>
              <w:szCs w:val="32"/>
            </w:rPr>
            <w:id w:val="71941103"/>
            <w14:checkbox>
              <w14:checked w14:val="1"/>
              <w14:checkedState w14:val="2612" w14:font="MS Gothic"/>
              <w14:uncheckedState w14:val="2610" w14:font="MS Gothic"/>
            </w14:checkbox>
          </w:sdtPr>
          <w:sdtEndPr/>
          <w:sdtContent>
            <w:tc>
              <w:tcPr>
                <w:tcW w:w="553" w:type="dxa"/>
                <w:vAlign w:val="center"/>
              </w:tcPr>
              <w:p w:rsidR="00D031B3" w:rsidRPr="003B08B4" w:rsidRDefault="00957FC8" w:rsidP="00FA74C4">
                <w:pPr>
                  <w:pStyle w:val="NoSpacing"/>
                  <w:jc w:val="center"/>
                  <w:rPr>
                    <w:sz w:val="32"/>
                    <w:szCs w:val="32"/>
                  </w:rPr>
                </w:pPr>
                <w:r>
                  <w:rPr>
                    <w:rFonts w:ascii="MS Gothic" w:eastAsia="MS Gothic" w:hAnsi="MS Gothic" w:hint="eastAsia"/>
                    <w:sz w:val="32"/>
                    <w:szCs w:val="32"/>
                  </w:rPr>
                  <w:t>☒</w:t>
                </w:r>
              </w:p>
            </w:tc>
          </w:sdtContent>
        </w:sdt>
        <w:bookmarkStart w:id="7" w:name="Back8"/>
        <w:bookmarkEnd w:id="7"/>
        <w:tc>
          <w:tcPr>
            <w:tcW w:w="1110" w:type="dxa"/>
            <w:shd w:val="clear" w:color="auto" w:fill="E2EFD9" w:themeFill="accent6" w:themeFillTint="33"/>
            <w:vAlign w:val="center"/>
          </w:tcPr>
          <w:p w:rsidR="00D031B3" w:rsidRPr="003B08B4" w:rsidRDefault="00134B0B" w:rsidP="00FA74C4">
            <w:pPr>
              <w:pStyle w:val="NoSpacing"/>
              <w:jc w:val="center"/>
            </w:pPr>
            <w:r>
              <w:fldChar w:fldCharType="begin"/>
            </w:r>
            <w:r>
              <w:instrText xml:space="preserve"> HYPERLINK  \l "Access" </w:instrText>
            </w:r>
            <w:r>
              <w:fldChar w:fldCharType="separate"/>
            </w:r>
            <w:r w:rsidR="00D031B3" w:rsidRPr="00134B0B">
              <w:rPr>
                <w:rStyle w:val="Hyperlink"/>
              </w:rPr>
              <w:t>Access</w:t>
            </w:r>
            <w:r>
              <w:fldChar w:fldCharType="end"/>
            </w:r>
          </w:p>
        </w:tc>
        <w:sdt>
          <w:sdtPr>
            <w:rPr>
              <w:sz w:val="32"/>
              <w:szCs w:val="32"/>
            </w:rPr>
            <w:id w:val="1262113289"/>
            <w14:checkbox>
              <w14:checked w14:val="1"/>
              <w14:checkedState w14:val="2612" w14:font="MS Gothic"/>
              <w14:uncheckedState w14:val="2610" w14:font="MS Gothic"/>
            </w14:checkbox>
          </w:sdtPr>
          <w:sdtEndPr/>
          <w:sdtContent>
            <w:tc>
              <w:tcPr>
                <w:tcW w:w="694" w:type="dxa"/>
                <w:vAlign w:val="center"/>
              </w:tcPr>
              <w:p w:rsidR="00D031B3" w:rsidRPr="003B08B4" w:rsidRDefault="00957FC8" w:rsidP="00FA74C4">
                <w:pPr>
                  <w:pStyle w:val="NoSpacing"/>
                  <w:jc w:val="center"/>
                  <w:rPr>
                    <w:sz w:val="32"/>
                    <w:szCs w:val="32"/>
                  </w:rPr>
                </w:pPr>
                <w:r>
                  <w:rPr>
                    <w:rFonts w:ascii="MS Gothic" w:eastAsia="MS Gothic" w:hAnsi="MS Gothic" w:hint="eastAsia"/>
                    <w:sz w:val="32"/>
                    <w:szCs w:val="32"/>
                  </w:rPr>
                  <w:t>☒</w:t>
                </w:r>
              </w:p>
            </w:tc>
          </w:sdtContent>
        </w:sdt>
        <w:tc>
          <w:tcPr>
            <w:tcW w:w="998" w:type="dxa"/>
            <w:shd w:val="clear" w:color="auto" w:fill="E2EFD9" w:themeFill="accent6" w:themeFillTint="33"/>
            <w:vAlign w:val="center"/>
          </w:tcPr>
          <w:p w:rsidR="00D031B3" w:rsidRPr="003B08B4" w:rsidRDefault="004A7093" w:rsidP="00FA74C4">
            <w:pPr>
              <w:pStyle w:val="NoSpacing"/>
              <w:jc w:val="center"/>
            </w:pPr>
            <w:hyperlink w:anchor="Rect" w:history="1">
              <w:r w:rsidR="00D031B3" w:rsidRPr="00134B0B">
                <w:rPr>
                  <w:rStyle w:val="Hyperlink"/>
                </w:rPr>
                <w:t>Rectify</w:t>
              </w:r>
            </w:hyperlink>
          </w:p>
        </w:tc>
        <w:sdt>
          <w:sdtPr>
            <w:rPr>
              <w:sz w:val="32"/>
              <w:szCs w:val="32"/>
            </w:rPr>
            <w:id w:val="-1722752542"/>
            <w14:checkbox>
              <w14:checked w14:val="1"/>
              <w14:checkedState w14:val="2612" w14:font="MS Gothic"/>
              <w14:uncheckedState w14:val="2610" w14:font="MS Gothic"/>
            </w14:checkbox>
          </w:sdtPr>
          <w:sdtEndPr/>
          <w:sdtContent>
            <w:tc>
              <w:tcPr>
                <w:tcW w:w="553" w:type="dxa"/>
                <w:vAlign w:val="center"/>
              </w:tcPr>
              <w:p w:rsidR="00D031B3" w:rsidRPr="003B08B4" w:rsidRDefault="00957FC8" w:rsidP="00FA74C4">
                <w:pPr>
                  <w:pStyle w:val="NoSpacing"/>
                  <w:jc w:val="center"/>
                  <w:rPr>
                    <w:sz w:val="32"/>
                    <w:szCs w:val="32"/>
                  </w:rPr>
                </w:pPr>
                <w:r>
                  <w:rPr>
                    <w:rFonts w:ascii="MS Gothic" w:eastAsia="MS Gothic" w:hAnsi="MS Gothic" w:hint="eastAsia"/>
                    <w:sz w:val="32"/>
                    <w:szCs w:val="32"/>
                  </w:rPr>
                  <w:t>☒</w:t>
                </w:r>
              </w:p>
            </w:tc>
          </w:sdtContent>
        </w:sdt>
        <w:bookmarkStart w:id="8" w:name="Back9"/>
        <w:bookmarkEnd w:id="8"/>
        <w:tc>
          <w:tcPr>
            <w:tcW w:w="1280" w:type="dxa"/>
            <w:gridSpan w:val="3"/>
            <w:shd w:val="clear" w:color="auto" w:fill="E2EFD9" w:themeFill="accent6" w:themeFillTint="33"/>
            <w:vAlign w:val="center"/>
          </w:tcPr>
          <w:p w:rsidR="00D031B3" w:rsidRPr="003B08B4" w:rsidRDefault="00134B0B" w:rsidP="00FA74C4">
            <w:pPr>
              <w:pStyle w:val="NoSpacing"/>
              <w:jc w:val="center"/>
            </w:pPr>
            <w:r>
              <w:fldChar w:fldCharType="begin"/>
            </w:r>
            <w:r>
              <w:instrText xml:space="preserve"> HYPERLINK  \l "Erase" </w:instrText>
            </w:r>
            <w:r>
              <w:fldChar w:fldCharType="separate"/>
            </w:r>
            <w:r w:rsidR="00D031B3" w:rsidRPr="00134B0B">
              <w:rPr>
                <w:rStyle w:val="Hyperlink"/>
              </w:rPr>
              <w:t>Erase</w:t>
            </w:r>
            <w:r>
              <w:fldChar w:fldCharType="end"/>
            </w:r>
            <w:bookmarkStart w:id="9" w:name="Back10"/>
            <w:bookmarkEnd w:id="9"/>
          </w:p>
        </w:tc>
        <w:sdt>
          <w:sdtPr>
            <w:rPr>
              <w:sz w:val="32"/>
              <w:szCs w:val="32"/>
            </w:rPr>
            <w:id w:val="-1631473241"/>
            <w14:checkbox>
              <w14:checked w14:val="1"/>
              <w14:checkedState w14:val="2612" w14:font="MS Gothic"/>
              <w14:uncheckedState w14:val="2610" w14:font="MS Gothic"/>
            </w14:checkbox>
          </w:sdtPr>
          <w:sdtEndPr/>
          <w:sdtContent>
            <w:tc>
              <w:tcPr>
                <w:tcW w:w="554" w:type="dxa"/>
                <w:vAlign w:val="center"/>
              </w:tcPr>
              <w:p w:rsidR="00D031B3" w:rsidRPr="003B08B4" w:rsidRDefault="00957FC8" w:rsidP="00FA74C4">
                <w:pPr>
                  <w:pStyle w:val="NoSpacing"/>
                  <w:jc w:val="center"/>
                  <w:rPr>
                    <w:sz w:val="32"/>
                    <w:szCs w:val="32"/>
                  </w:rPr>
                </w:pPr>
                <w:r>
                  <w:rPr>
                    <w:rFonts w:ascii="MS Gothic" w:eastAsia="MS Gothic" w:hAnsi="MS Gothic" w:hint="eastAsia"/>
                    <w:sz w:val="32"/>
                    <w:szCs w:val="32"/>
                  </w:rPr>
                  <w:t>☒</w:t>
                </w:r>
              </w:p>
            </w:tc>
          </w:sdtContent>
        </w:sdt>
      </w:tr>
      <w:tr w:rsidR="00D031B3" w:rsidRPr="00062414" w:rsidTr="00D658E0">
        <w:trPr>
          <w:trHeight w:val="277"/>
        </w:trPr>
        <w:tc>
          <w:tcPr>
            <w:tcW w:w="2039" w:type="dxa"/>
            <w:vMerge/>
            <w:shd w:val="clear" w:color="auto" w:fill="C5E0B3" w:themeFill="accent6" w:themeFillTint="66"/>
            <w:vAlign w:val="center"/>
          </w:tcPr>
          <w:p w:rsidR="00D031B3" w:rsidRDefault="00D031B3" w:rsidP="00FA74C4">
            <w:pPr>
              <w:pStyle w:val="NoSpacing"/>
            </w:pPr>
          </w:p>
        </w:tc>
        <w:bookmarkStart w:id="10" w:name="Back11"/>
        <w:bookmarkEnd w:id="10"/>
        <w:tc>
          <w:tcPr>
            <w:tcW w:w="1235" w:type="dxa"/>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"Restrict" </w:instrText>
            </w:r>
            <w:r>
              <w:fldChar w:fldCharType="separate"/>
            </w:r>
            <w:r w:rsidR="00D031B3" w:rsidRPr="00134B0B">
              <w:rPr>
                <w:rStyle w:val="Hyperlink"/>
              </w:rPr>
              <w:t>Restrict</w:t>
            </w:r>
            <w:r>
              <w:fldChar w:fldCharType="end"/>
            </w:r>
          </w:p>
        </w:tc>
        <w:sdt>
          <w:sdtPr>
            <w:rPr>
              <w:sz w:val="32"/>
              <w:szCs w:val="32"/>
            </w:rPr>
            <w:id w:val="1533612694"/>
            <w14:checkbox>
              <w14:checked w14:val="1"/>
              <w14:checkedState w14:val="2612" w14:font="MS Gothic"/>
              <w14:uncheckedState w14:val="2610" w14:font="MS Gothic"/>
            </w14:checkbox>
          </w:sdtPr>
          <w:sdtEndPr/>
          <w:sdtContent>
            <w:tc>
              <w:tcPr>
                <w:tcW w:w="553" w:type="dxa"/>
                <w:vAlign w:val="center"/>
              </w:tcPr>
              <w:p w:rsidR="00D031B3" w:rsidRPr="003B08B4" w:rsidRDefault="00957FC8" w:rsidP="00FA74C4">
                <w:pPr>
                  <w:pStyle w:val="NoSpacing"/>
                  <w:jc w:val="center"/>
                  <w:rPr>
                    <w:sz w:val="32"/>
                    <w:szCs w:val="32"/>
                  </w:rPr>
                </w:pPr>
                <w:r>
                  <w:rPr>
                    <w:rFonts w:ascii="MS Gothic" w:eastAsia="MS Gothic" w:hAnsi="MS Gothic" w:hint="eastAsia"/>
                    <w:sz w:val="32"/>
                    <w:szCs w:val="32"/>
                  </w:rPr>
                  <w:t>☒</w:t>
                </w:r>
              </w:p>
            </w:tc>
          </w:sdtContent>
        </w:sdt>
        <w:bookmarkStart w:id="11" w:name="Back12"/>
        <w:bookmarkEnd w:id="11"/>
        <w:tc>
          <w:tcPr>
            <w:tcW w:w="1110" w:type="dxa"/>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"Portability" </w:instrText>
            </w:r>
            <w:r>
              <w:fldChar w:fldCharType="separate"/>
            </w:r>
            <w:r w:rsidR="00D031B3" w:rsidRPr="00134B0B">
              <w:rPr>
                <w:rStyle w:val="Hyperlink"/>
              </w:rPr>
              <w:t>Portable</w:t>
            </w:r>
            <w:r>
              <w:fldChar w:fldCharType="end"/>
            </w:r>
          </w:p>
        </w:tc>
        <w:sdt>
          <w:sdtPr>
            <w:rPr>
              <w:sz w:val="32"/>
              <w:szCs w:val="32"/>
            </w:rPr>
            <w:id w:val="1065226194"/>
            <w14:checkbox>
              <w14:checked w14:val="0"/>
              <w14:checkedState w14:val="2612" w14:font="MS Gothic"/>
              <w14:uncheckedState w14:val="2610" w14:font="MS Gothic"/>
            </w14:checkbox>
          </w:sdtPr>
          <w:sdtEndPr/>
          <w:sdtContent>
            <w:tc>
              <w:tcPr>
                <w:tcW w:w="694"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bookmarkStart w:id="12" w:name="Back13"/>
        <w:bookmarkStart w:id="13" w:name="Back14"/>
        <w:bookmarkEnd w:id="12"/>
        <w:bookmarkEnd w:id="13"/>
        <w:tc>
          <w:tcPr>
            <w:tcW w:w="998" w:type="dxa"/>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"Object" </w:instrText>
            </w:r>
            <w:r>
              <w:fldChar w:fldCharType="separate"/>
            </w:r>
            <w:r w:rsidR="00D031B3" w:rsidRPr="00134B0B">
              <w:rPr>
                <w:rStyle w:val="Hyperlink"/>
              </w:rPr>
              <w:t>Object</w:t>
            </w:r>
            <w:r>
              <w:fldChar w:fldCharType="end"/>
            </w:r>
          </w:p>
        </w:tc>
        <w:sdt>
          <w:sdtPr>
            <w:rPr>
              <w:sz w:val="32"/>
              <w:szCs w:val="32"/>
            </w:rPr>
            <w:id w:val="-1007827684"/>
            <w14:checkbox>
              <w14:checked w14:val="1"/>
              <w14:checkedState w14:val="2612" w14:font="MS Gothic"/>
              <w14:uncheckedState w14:val="2610" w14:font="MS Gothic"/>
            </w14:checkbox>
          </w:sdtPr>
          <w:sdtEndPr/>
          <w:sdtContent>
            <w:tc>
              <w:tcPr>
                <w:tcW w:w="553" w:type="dxa"/>
                <w:vAlign w:val="center"/>
              </w:tcPr>
              <w:p w:rsidR="00D031B3" w:rsidRPr="003B08B4" w:rsidRDefault="00957FC8" w:rsidP="00FA74C4">
                <w:pPr>
                  <w:pStyle w:val="NoSpacing"/>
                  <w:jc w:val="center"/>
                  <w:rPr>
                    <w:sz w:val="32"/>
                    <w:szCs w:val="32"/>
                  </w:rPr>
                </w:pPr>
                <w:r>
                  <w:rPr>
                    <w:rFonts w:ascii="MS Gothic" w:eastAsia="MS Gothic" w:hAnsi="MS Gothic" w:hint="eastAsia"/>
                    <w:sz w:val="32"/>
                    <w:szCs w:val="32"/>
                  </w:rPr>
                  <w:t>☒</w:t>
                </w:r>
              </w:p>
            </w:tc>
          </w:sdtContent>
        </w:sdt>
        <w:bookmarkStart w:id="14" w:name="Back15"/>
        <w:bookmarkEnd w:id="14"/>
        <w:tc>
          <w:tcPr>
            <w:tcW w:w="1280" w:type="dxa"/>
            <w:gridSpan w:val="3"/>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"Auto" </w:instrText>
            </w:r>
            <w:r>
              <w:fldChar w:fldCharType="separate"/>
            </w:r>
            <w:r w:rsidR="00D031B3" w:rsidRPr="00134B0B">
              <w:rPr>
                <w:rStyle w:val="Hyperlink"/>
              </w:rPr>
              <w:t>Automate</w:t>
            </w:r>
            <w:r>
              <w:fldChar w:fldCharType="end"/>
            </w:r>
          </w:p>
        </w:tc>
        <w:sdt>
          <w:sdtPr>
            <w:rPr>
              <w:sz w:val="32"/>
              <w:szCs w:val="32"/>
            </w:rPr>
            <w:id w:val="-803381124"/>
            <w14:checkbox>
              <w14:checked w14:val="0"/>
              <w14:checkedState w14:val="2612" w14:font="MS Gothic"/>
              <w14:uncheckedState w14:val="2610" w14:font="MS Gothic"/>
            </w14:checkbox>
          </w:sdtPr>
          <w:sdtEndPr/>
          <w:sdtContent>
            <w:tc>
              <w:tcPr>
                <w:tcW w:w="554"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tr>
      <w:tr w:rsidR="00D031B3" w:rsidRPr="00062414" w:rsidTr="00D658E0">
        <w:tc>
          <w:tcPr>
            <w:tcW w:w="2039" w:type="dxa"/>
            <w:vMerge w:val="restart"/>
            <w:shd w:val="clear" w:color="auto" w:fill="C5E0B3" w:themeFill="accent6" w:themeFillTint="66"/>
            <w:vAlign w:val="center"/>
          </w:tcPr>
          <w:p w:rsidR="00D031B3" w:rsidRPr="009C422F" w:rsidRDefault="00D031B3" w:rsidP="00FA74C4">
            <w:pPr>
              <w:pStyle w:val="NoSpacing"/>
            </w:pPr>
            <w:r w:rsidRPr="009C422F">
              <w:lastRenderedPageBreak/>
              <w:t xml:space="preserve">As you </w:t>
            </w:r>
            <w:r w:rsidR="000426EF">
              <w:t xml:space="preserve">are </w:t>
            </w:r>
            <w:r w:rsidRPr="009C422F">
              <w:t>giving us your data directly to us:</w:t>
            </w:r>
          </w:p>
        </w:tc>
        <w:tc>
          <w:tcPr>
            <w:tcW w:w="3592" w:type="dxa"/>
            <w:gridSpan w:val="4"/>
            <w:shd w:val="clear" w:color="auto" w:fill="E2EFD9" w:themeFill="accent6" w:themeFillTint="33"/>
            <w:vAlign w:val="center"/>
          </w:tcPr>
          <w:p w:rsidR="00D031B3" w:rsidRPr="009C422F" w:rsidRDefault="00D031B3" w:rsidP="00FA74C4">
            <w:pPr>
              <w:pStyle w:val="NoSpacing"/>
            </w:pPr>
            <w:r w:rsidRPr="009C422F">
              <w:t>This is the reason why we are allowed to ask for it and use it:</w:t>
            </w:r>
          </w:p>
        </w:tc>
        <w:tc>
          <w:tcPr>
            <w:tcW w:w="3385" w:type="dxa"/>
            <w:gridSpan w:val="6"/>
            <w:vAlign w:val="center"/>
          </w:tcPr>
          <w:p w:rsidR="00D031B3" w:rsidRPr="00062414" w:rsidRDefault="00957FC8" w:rsidP="00FA74C4">
            <w:pPr>
              <w:pStyle w:val="NoSpacing"/>
            </w:pPr>
            <w:r>
              <w:t>To enable the delivery of these services</w:t>
            </w:r>
          </w:p>
        </w:tc>
      </w:tr>
      <w:tr w:rsidR="00D031B3" w:rsidRPr="00062414" w:rsidTr="00D658E0">
        <w:tc>
          <w:tcPr>
            <w:tcW w:w="2039" w:type="dxa"/>
            <w:vMerge/>
            <w:shd w:val="clear" w:color="auto" w:fill="C5E0B3" w:themeFill="accent6" w:themeFillTint="66"/>
            <w:vAlign w:val="center"/>
          </w:tcPr>
          <w:p w:rsidR="00D031B3" w:rsidRPr="009C422F" w:rsidRDefault="00D031B3" w:rsidP="00FA74C4">
            <w:pPr>
              <w:pStyle w:val="NoSpacing"/>
            </w:pPr>
          </w:p>
        </w:tc>
        <w:tc>
          <w:tcPr>
            <w:tcW w:w="3592" w:type="dxa"/>
            <w:gridSpan w:val="4"/>
            <w:shd w:val="clear" w:color="auto" w:fill="E2EFD9" w:themeFill="accent6" w:themeFillTint="33"/>
            <w:vAlign w:val="center"/>
          </w:tcPr>
          <w:p w:rsidR="00D031B3" w:rsidRPr="009C422F" w:rsidRDefault="00D031B3" w:rsidP="00FA74C4">
            <w:pPr>
              <w:pStyle w:val="NoSpacing"/>
            </w:pPr>
            <w:r w:rsidRPr="009C422F">
              <w:t>This is what could happen if you refused to let us use your data for this purpose:</w:t>
            </w:r>
          </w:p>
        </w:tc>
        <w:tc>
          <w:tcPr>
            <w:tcW w:w="3385" w:type="dxa"/>
            <w:gridSpan w:val="6"/>
            <w:vAlign w:val="center"/>
          </w:tcPr>
          <w:p w:rsidR="00D031B3" w:rsidRPr="00062414" w:rsidRDefault="00957FC8" w:rsidP="00FA74C4">
            <w:pPr>
              <w:pStyle w:val="NoSpacing"/>
            </w:pPr>
            <w:r>
              <w:t>Your child will not be able to participate in these events</w:t>
            </w:r>
          </w:p>
        </w:tc>
      </w:tr>
      <w:tr w:rsidR="00D031B3" w:rsidRPr="00062414" w:rsidTr="00D658E0">
        <w:trPr>
          <w:trHeight w:val="690"/>
        </w:trPr>
        <w:tc>
          <w:tcPr>
            <w:tcW w:w="9016" w:type="dxa"/>
            <w:gridSpan w:val="11"/>
            <w:shd w:val="clear" w:color="auto" w:fill="538135" w:themeFill="accent6" w:themeFillShade="BF"/>
            <w:vAlign w:val="center"/>
          </w:tcPr>
          <w:p w:rsidR="00D031B3" w:rsidRPr="00F55FF8" w:rsidRDefault="00D031B3" w:rsidP="00FA74C4">
            <w:pPr>
              <w:pStyle w:val="NoSpacing"/>
              <w:rPr>
                <w:b/>
                <w:color w:val="FFFFFF" w:themeColor="background1"/>
              </w:rPr>
            </w:pPr>
            <w:r>
              <w:rPr>
                <w:b/>
                <w:color w:val="FFFFFF" w:themeColor="background1"/>
              </w:rPr>
              <w:t>Visit the following links for more information about Privacy Law, our obligations and your Rights:</w:t>
            </w:r>
          </w:p>
        </w:tc>
      </w:tr>
      <w:tr w:rsidR="00D031B3" w:rsidRPr="00062414" w:rsidTr="00D658E0">
        <w:trPr>
          <w:trHeight w:val="690"/>
        </w:trPr>
        <w:tc>
          <w:tcPr>
            <w:tcW w:w="9016" w:type="dxa"/>
            <w:gridSpan w:val="11"/>
            <w:shd w:val="clear" w:color="auto" w:fill="E2EFD9" w:themeFill="accent6" w:themeFillTint="33"/>
            <w:vAlign w:val="center"/>
          </w:tcPr>
          <w:p w:rsidR="00D031B3" w:rsidRPr="00D031B3" w:rsidRDefault="004A7093" w:rsidP="00D031B3">
            <w:pPr>
              <w:pStyle w:val="NoSpacing"/>
              <w:rPr>
                <w:color w:val="FFFFFF" w:themeColor="background1"/>
              </w:rPr>
            </w:pPr>
            <w:hyperlink r:id="rId8" w:history="1">
              <w:r w:rsidR="00D031B3">
                <w:rPr>
                  <w:rStyle w:val="Hyperlink"/>
                </w:rPr>
                <w:t>The ICO Guide to the</w:t>
              </w:r>
              <w:r w:rsidR="00D031B3" w:rsidRPr="00D031B3">
                <w:rPr>
                  <w:rStyle w:val="Hyperlink"/>
                </w:rPr>
                <w:t xml:space="preserve"> General Data Protection Regulations 2016</w:t>
              </w:r>
            </w:hyperlink>
          </w:p>
          <w:p w:rsidR="00D031B3" w:rsidRDefault="004A7093" w:rsidP="00D031B3">
            <w:pPr>
              <w:pStyle w:val="NoSpacing"/>
              <w:rPr>
                <w:b/>
                <w:color w:val="FFFFFF" w:themeColor="background1"/>
              </w:rPr>
            </w:pPr>
            <w:hyperlink r:id="rId9" w:history="1">
              <w:r w:rsidR="00D031B3" w:rsidRPr="00D031B3">
                <w:rPr>
                  <w:rStyle w:val="Hyperlink"/>
                </w:rPr>
                <w:t xml:space="preserve">The General </w:t>
              </w:r>
              <w:r w:rsidR="00D031B3">
                <w:rPr>
                  <w:rStyle w:val="Hyperlink"/>
                </w:rPr>
                <w:t>D</w:t>
              </w:r>
              <w:r w:rsidR="00D031B3" w:rsidRPr="00D031B3">
                <w:rPr>
                  <w:rStyle w:val="Hyperlink"/>
                </w:rPr>
                <w:t>ata Protection Regulations 2016</w:t>
              </w:r>
            </w:hyperlink>
          </w:p>
        </w:tc>
      </w:tr>
      <w:tr w:rsidR="00D031B3" w:rsidRPr="00062414" w:rsidTr="00D658E0">
        <w:tc>
          <w:tcPr>
            <w:tcW w:w="9016" w:type="dxa"/>
            <w:gridSpan w:val="11"/>
            <w:shd w:val="clear" w:color="auto" w:fill="538135" w:themeFill="accent6" w:themeFillShade="BF"/>
            <w:vAlign w:val="center"/>
          </w:tcPr>
          <w:p w:rsidR="00D031B3" w:rsidRPr="00F55FF8" w:rsidRDefault="00D031B3" w:rsidP="00FA74C4">
            <w:pPr>
              <w:pStyle w:val="NoSpacing"/>
              <w:rPr>
                <w:b/>
                <w:color w:val="FFFFFF" w:themeColor="background1"/>
              </w:rPr>
            </w:pPr>
            <w:r w:rsidRPr="00F55FF8">
              <w:rPr>
                <w:b/>
                <w:color w:val="FFFFFF" w:themeColor="background1"/>
              </w:rPr>
              <w:t>If you have concerns over the way we are asking for or using your personal data, please raise the matter with our Data Protection Officer by the following means:</w:t>
            </w:r>
          </w:p>
        </w:tc>
      </w:tr>
      <w:tr w:rsidR="00B674B2" w:rsidRPr="00062414" w:rsidTr="00E23F4E">
        <w:tc>
          <w:tcPr>
            <w:tcW w:w="2039" w:type="dxa"/>
            <w:shd w:val="clear" w:color="auto" w:fill="C5E0B3" w:themeFill="accent6" w:themeFillTint="66"/>
            <w:vAlign w:val="center"/>
          </w:tcPr>
          <w:p w:rsidR="00B674B2" w:rsidRPr="009C422F" w:rsidRDefault="00B674B2" w:rsidP="00B674B2">
            <w:pPr>
              <w:pStyle w:val="NoSpacing"/>
            </w:pPr>
            <w:r w:rsidRPr="009C422F">
              <w:t>Postal Address</w:t>
            </w:r>
          </w:p>
        </w:tc>
        <w:tc>
          <w:tcPr>
            <w:tcW w:w="6977" w:type="dxa"/>
            <w:gridSpan w:val="10"/>
          </w:tcPr>
          <w:p w:rsidR="00B674B2" w:rsidRPr="00937804" w:rsidRDefault="00937804" w:rsidP="00B674B2">
            <w:pPr>
              <w:rPr>
                <w:rFonts w:ascii="Arial" w:hAnsi="Arial" w:cs="Arial"/>
                <w:color w:val="FF0000"/>
                <w:sz w:val="24"/>
                <w:szCs w:val="24"/>
              </w:rPr>
            </w:pPr>
            <w:r w:rsidRPr="00937804">
              <w:rPr>
                <w:rFonts w:ascii="Arial" w:hAnsi="Arial" w:cs="Arial"/>
                <w:color w:val="FF0000"/>
                <w:sz w:val="24"/>
                <w:szCs w:val="24"/>
              </w:rPr>
              <w:t xml:space="preserve">Langar Church of England Primary School, </w:t>
            </w:r>
            <w:proofErr w:type="spellStart"/>
            <w:r w:rsidRPr="00937804">
              <w:rPr>
                <w:rFonts w:ascii="Arial" w:hAnsi="Arial" w:cs="Arial"/>
                <w:color w:val="FF0000"/>
                <w:sz w:val="24"/>
                <w:szCs w:val="24"/>
              </w:rPr>
              <w:t>Barnstone</w:t>
            </w:r>
            <w:proofErr w:type="spellEnd"/>
            <w:r w:rsidRPr="00937804">
              <w:rPr>
                <w:rFonts w:ascii="Arial" w:hAnsi="Arial" w:cs="Arial"/>
                <w:color w:val="FF0000"/>
                <w:sz w:val="24"/>
                <w:szCs w:val="24"/>
              </w:rPr>
              <w:t xml:space="preserve"> Road, Langar, Nottingham.  NG123 9HH</w:t>
            </w:r>
          </w:p>
        </w:tc>
      </w:tr>
      <w:tr w:rsidR="00B674B2" w:rsidRPr="00062414" w:rsidTr="00E23F4E">
        <w:tc>
          <w:tcPr>
            <w:tcW w:w="2039" w:type="dxa"/>
            <w:shd w:val="clear" w:color="auto" w:fill="C5E0B3" w:themeFill="accent6" w:themeFillTint="66"/>
            <w:vAlign w:val="center"/>
          </w:tcPr>
          <w:p w:rsidR="00B674B2" w:rsidRPr="009C422F" w:rsidRDefault="00B674B2" w:rsidP="00B674B2">
            <w:pPr>
              <w:pStyle w:val="NoSpacing"/>
            </w:pPr>
            <w:r w:rsidRPr="009C422F">
              <w:t>Email</w:t>
            </w:r>
          </w:p>
        </w:tc>
        <w:tc>
          <w:tcPr>
            <w:tcW w:w="6977" w:type="dxa"/>
            <w:gridSpan w:val="10"/>
          </w:tcPr>
          <w:p w:rsidR="00B674B2" w:rsidRPr="00937804" w:rsidRDefault="00937804" w:rsidP="00937804">
            <w:pPr>
              <w:rPr>
                <w:rFonts w:ascii="Arial" w:hAnsi="Arial" w:cs="Arial"/>
                <w:color w:val="FF0000"/>
                <w:sz w:val="24"/>
                <w:szCs w:val="24"/>
              </w:rPr>
            </w:pPr>
            <w:r w:rsidRPr="00937804">
              <w:rPr>
                <w:rFonts w:ascii="Arial" w:hAnsi="Arial" w:cs="Arial"/>
                <w:color w:val="FF0000"/>
                <w:sz w:val="24"/>
                <w:szCs w:val="24"/>
              </w:rPr>
              <w:t>office@langar.notts.sch.uk</w:t>
            </w:r>
          </w:p>
        </w:tc>
      </w:tr>
      <w:tr w:rsidR="00B674B2" w:rsidRPr="00062414" w:rsidTr="00E23F4E">
        <w:tc>
          <w:tcPr>
            <w:tcW w:w="2039" w:type="dxa"/>
            <w:shd w:val="clear" w:color="auto" w:fill="C5E0B3" w:themeFill="accent6" w:themeFillTint="66"/>
            <w:vAlign w:val="center"/>
          </w:tcPr>
          <w:p w:rsidR="00B674B2" w:rsidRPr="009C422F" w:rsidRDefault="00B674B2" w:rsidP="00B674B2">
            <w:pPr>
              <w:pStyle w:val="NoSpacing"/>
            </w:pPr>
            <w:r w:rsidRPr="009C422F">
              <w:t>Phone Number</w:t>
            </w:r>
          </w:p>
        </w:tc>
        <w:tc>
          <w:tcPr>
            <w:tcW w:w="6977" w:type="dxa"/>
            <w:gridSpan w:val="10"/>
          </w:tcPr>
          <w:p w:rsidR="00B674B2" w:rsidRPr="00937804" w:rsidRDefault="00937804" w:rsidP="00B674B2">
            <w:pPr>
              <w:rPr>
                <w:rFonts w:ascii="Arial" w:hAnsi="Arial" w:cs="Arial"/>
                <w:color w:val="FF0000"/>
                <w:sz w:val="24"/>
                <w:szCs w:val="24"/>
              </w:rPr>
            </w:pPr>
            <w:r>
              <w:rPr>
                <w:rFonts w:ascii="Arial" w:hAnsi="Arial" w:cs="Arial"/>
                <w:color w:val="FF0000"/>
                <w:sz w:val="24"/>
                <w:szCs w:val="24"/>
              </w:rPr>
              <w:t>01949 860056</w:t>
            </w:r>
          </w:p>
        </w:tc>
      </w:tr>
      <w:tr w:rsidR="00D031B3" w:rsidRPr="00062414" w:rsidTr="00D658E0">
        <w:tc>
          <w:tcPr>
            <w:tcW w:w="9016" w:type="dxa"/>
            <w:gridSpan w:val="11"/>
            <w:shd w:val="clear" w:color="auto" w:fill="538135" w:themeFill="accent6" w:themeFillShade="BF"/>
            <w:vAlign w:val="center"/>
          </w:tcPr>
          <w:p w:rsidR="00D031B3" w:rsidRPr="00F55FF8" w:rsidRDefault="00D031B3" w:rsidP="00FA74C4">
            <w:pPr>
              <w:pStyle w:val="NoSpacing"/>
              <w:rPr>
                <w:b/>
                <w:color w:val="FFFFFF" w:themeColor="background1"/>
              </w:rPr>
            </w:pPr>
            <w:r w:rsidRPr="00F55FF8">
              <w:rPr>
                <w:b/>
                <w:color w:val="FFFFFF" w:themeColor="background1"/>
              </w:rPr>
              <w:t>If you still have concerns following our response you have the right to raise the matter with the Information Commissioner’s Office:</w:t>
            </w:r>
          </w:p>
        </w:tc>
      </w:tr>
      <w:tr w:rsidR="00D031B3" w:rsidRPr="00062414" w:rsidTr="00D658E0">
        <w:tc>
          <w:tcPr>
            <w:tcW w:w="2039" w:type="dxa"/>
            <w:shd w:val="clear" w:color="auto" w:fill="C5E0B3" w:themeFill="accent6" w:themeFillTint="66"/>
            <w:vAlign w:val="center"/>
          </w:tcPr>
          <w:p w:rsidR="00D031B3" w:rsidRPr="009C422F" w:rsidRDefault="00D031B3" w:rsidP="00FA74C4">
            <w:pPr>
              <w:pStyle w:val="NoSpacing"/>
            </w:pPr>
            <w:r w:rsidRPr="009C422F">
              <w:t>Postal Address</w:t>
            </w:r>
          </w:p>
        </w:tc>
        <w:tc>
          <w:tcPr>
            <w:tcW w:w="6977" w:type="dxa"/>
            <w:gridSpan w:val="10"/>
            <w:vAlign w:val="center"/>
          </w:tcPr>
          <w:p w:rsidR="00D031B3" w:rsidRPr="009C422F" w:rsidRDefault="00D031B3" w:rsidP="00FA74C4">
            <w:pPr>
              <w:pStyle w:val="NoSpacing"/>
            </w:pPr>
            <w:r w:rsidRPr="00453654">
              <w:t>Information Commissioner's Office</w:t>
            </w:r>
            <w:r>
              <w:t xml:space="preserve">, </w:t>
            </w:r>
            <w:r w:rsidRPr="00453654">
              <w:t>Wycliffe House</w:t>
            </w:r>
            <w:r>
              <w:t xml:space="preserve">, </w:t>
            </w:r>
            <w:r w:rsidRPr="00453654">
              <w:t>Water Lane</w:t>
            </w:r>
            <w:r>
              <w:t xml:space="preserve">, Wilmslow, Cheshire, </w:t>
            </w:r>
            <w:r w:rsidRPr="00453654">
              <w:t>SK9 5AF</w:t>
            </w:r>
          </w:p>
        </w:tc>
      </w:tr>
      <w:tr w:rsidR="00D031B3" w:rsidRPr="00062414" w:rsidTr="00D658E0">
        <w:tc>
          <w:tcPr>
            <w:tcW w:w="2039" w:type="dxa"/>
            <w:shd w:val="clear" w:color="auto" w:fill="C5E0B3" w:themeFill="accent6" w:themeFillTint="66"/>
            <w:vAlign w:val="center"/>
          </w:tcPr>
          <w:p w:rsidR="00D031B3" w:rsidRPr="009C422F" w:rsidRDefault="00D031B3" w:rsidP="00FA74C4">
            <w:pPr>
              <w:pStyle w:val="NoSpacing"/>
            </w:pPr>
            <w:r>
              <w:t>Online Form</w:t>
            </w:r>
          </w:p>
        </w:tc>
        <w:tc>
          <w:tcPr>
            <w:tcW w:w="6977" w:type="dxa"/>
            <w:gridSpan w:val="10"/>
            <w:vAlign w:val="center"/>
          </w:tcPr>
          <w:p w:rsidR="00D031B3" w:rsidRPr="00453654" w:rsidRDefault="004A7093" w:rsidP="00FA74C4">
            <w:pPr>
              <w:pStyle w:val="NoSpacing"/>
            </w:pPr>
            <w:hyperlink r:id="rId10" w:history="1">
              <w:r w:rsidR="00D031B3" w:rsidRPr="00453654">
                <w:rPr>
                  <w:rStyle w:val="Hyperlink"/>
                </w:rPr>
                <w:t>https://ico.org.uk/concerns/handling/</w:t>
              </w:r>
            </w:hyperlink>
            <w:r w:rsidR="00D031B3" w:rsidRPr="00453654">
              <w:t xml:space="preserve"> </w:t>
            </w:r>
          </w:p>
        </w:tc>
      </w:tr>
      <w:tr w:rsidR="00D031B3" w:rsidRPr="00062414" w:rsidTr="00D658E0">
        <w:tc>
          <w:tcPr>
            <w:tcW w:w="2039" w:type="dxa"/>
            <w:shd w:val="clear" w:color="auto" w:fill="C5E0B3" w:themeFill="accent6" w:themeFillTint="66"/>
            <w:vAlign w:val="center"/>
          </w:tcPr>
          <w:p w:rsidR="00D031B3" w:rsidRPr="009C422F" w:rsidRDefault="00D031B3" w:rsidP="00FA74C4">
            <w:pPr>
              <w:pStyle w:val="NoSpacing"/>
            </w:pPr>
            <w:r w:rsidRPr="009C422F">
              <w:t>Phone Number</w:t>
            </w:r>
          </w:p>
        </w:tc>
        <w:tc>
          <w:tcPr>
            <w:tcW w:w="6977" w:type="dxa"/>
            <w:gridSpan w:val="10"/>
            <w:vAlign w:val="center"/>
          </w:tcPr>
          <w:p w:rsidR="00D031B3" w:rsidRPr="009C422F" w:rsidRDefault="00D031B3" w:rsidP="00FA74C4">
            <w:pPr>
              <w:pStyle w:val="NoSpacing"/>
            </w:pPr>
            <w:r w:rsidRPr="00453654">
              <w:t>0303 123 1113</w:t>
            </w:r>
          </w:p>
        </w:tc>
      </w:tr>
    </w:tbl>
    <w:p w:rsidR="00D031B3" w:rsidRDefault="00D031B3"/>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r>
        <w:t>Guidance</w:t>
      </w:r>
    </w:p>
    <w:p w:rsidR="00134B0B" w:rsidRDefault="00134B0B" w:rsidP="00134B0B">
      <w:pPr>
        <w:pStyle w:val="ListParagraph"/>
        <w:numPr>
          <w:ilvl w:val="0"/>
          <w:numId w:val="3"/>
        </w:numPr>
      </w:pPr>
      <w:r>
        <w:t>Who is a Data Controller?  This is your Organisation.</w:t>
      </w:r>
    </w:p>
    <w:p w:rsidR="00134B0B" w:rsidRDefault="004A7093" w:rsidP="00134B0B">
      <w:pPr>
        <w:pStyle w:val="ListParagraph"/>
      </w:pPr>
      <w:hyperlink w:anchor="Back1" w:history="1">
        <w:r w:rsidR="00134B0B" w:rsidRPr="00134B0B">
          <w:rPr>
            <w:rStyle w:val="Hyperlink"/>
          </w:rPr>
          <w:t>Back</w:t>
        </w:r>
      </w:hyperlink>
    </w:p>
    <w:p w:rsidR="00134B0B" w:rsidRDefault="00134B0B" w:rsidP="00134B0B">
      <w:pPr>
        <w:pStyle w:val="ListParagraph"/>
        <w:numPr>
          <w:ilvl w:val="0"/>
          <w:numId w:val="3"/>
        </w:numPr>
      </w:pPr>
      <w:bookmarkStart w:id="15" w:name="DC"/>
      <w:bookmarkStart w:id="16" w:name="DPO"/>
      <w:r>
        <w:t>Who is the Data Protection Officer?  This is a statutory post either within your organisation or a contracted service</w:t>
      </w:r>
    </w:p>
    <w:bookmarkEnd w:id="15"/>
    <w:bookmarkEnd w:id="16"/>
    <w:p w:rsidR="00134B0B" w:rsidRDefault="00134B0B" w:rsidP="00134B0B">
      <w:pPr>
        <w:pStyle w:val="ListParagraph"/>
      </w:pPr>
      <w:r>
        <w:fldChar w:fldCharType="begin"/>
      </w:r>
      <w:r>
        <w:instrText xml:space="preserve"> HYPERLINK  \l "Back2" </w:instrText>
      </w:r>
      <w:r>
        <w:fldChar w:fldCharType="separate"/>
      </w:r>
      <w:r w:rsidRPr="00134B0B">
        <w:rPr>
          <w:rStyle w:val="Hyperlink"/>
        </w:rPr>
        <w:t>Back</w:t>
      </w:r>
      <w:r>
        <w:fldChar w:fldCharType="end"/>
      </w:r>
    </w:p>
    <w:p w:rsidR="00134B0B" w:rsidRDefault="00134B0B" w:rsidP="00134B0B">
      <w:pPr>
        <w:pStyle w:val="ListParagraph"/>
        <w:numPr>
          <w:ilvl w:val="0"/>
          <w:numId w:val="3"/>
        </w:numPr>
      </w:pPr>
      <w:bookmarkStart w:id="17" w:name="DProc"/>
      <w:r>
        <w:t>What is a Data Processor?  This is someone who uses the data you are responsible for in order to deliver a service you have contracted them to deliver on your behalf</w:t>
      </w:r>
    </w:p>
    <w:bookmarkEnd w:id="17"/>
    <w:p w:rsidR="00134B0B" w:rsidRDefault="00134B0B" w:rsidP="00134B0B">
      <w:pPr>
        <w:pStyle w:val="ListParagraph"/>
      </w:pPr>
      <w:r>
        <w:fldChar w:fldCharType="begin"/>
      </w:r>
      <w:r>
        <w:instrText xml:space="preserve"> HYPERLINK  \l "Back3" </w:instrText>
      </w:r>
      <w:r>
        <w:fldChar w:fldCharType="separate"/>
      </w:r>
      <w:r w:rsidRPr="00134B0B">
        <w:rPr>
          <w:rStyle w:val="Hyperlink"/>
        </w:rPr>
        <w:t>Back</w:t>
      </w:r>
      <w:r>
        <w:fldChar w:fldCharType="end"/>
      </w:r>
    </w:p>
    <w:p w:rsidR="00134B0B" w:rsidRDefault="00134B0B" w:rsidP="00134B0B">
      <w:pPr>
        <w:pStyle w:val="ListParagraph"/>
        <w:numPr>
          <w:ilvl w:val="0"/>
          <w:numId w:val="3"/>
        </w:numPr>
      </w:pPr>
      <w:bookmarkStart w:id="18" w:name="Purps"/>
      <w:r>
        <w:t>What are Purposes?  This is the reason you want to use the data, e.g. to create a pupil record</w:t>
      </w:r>
    </w:p>
    <w:p w:rsidR="00134B0B" w:rsidRDefault="004A7093" w:rsidP="00134B0B">
      <w:pPr>
        <w:pStyle w:val="ListParagraph"/>
      </w:pPr>
      <w:hyperlink w:anchor="Back4" w:history="1">
        <w:r w:rsidR="00134B0B" w:rsidRPr="00134B0B">
          <w:rPr>
            <w:rStyle w:val="Hyperlink"/>
          </w:rPr>
          <w:t>Back</w:t>
        </w:r>
      </w:hyperlink>
    </w:p>
    <w:p w:rsidR="00134B0B" w:rsidRDefault="00134B0B" w:rsidP="00134B0B">
      <w:pPr>
        <w:pStyle w:val="ListParagraph"/>
        <w:numPr>
          <w:ilvl w:val="0"/>
          <w:numId w:val="3"/>
        </w:numPr>
      </w:pPr>
      <w:bookmarkStart w:id="19" w:name="LegCond"/>
      <w:bookmarkEnd w:id="18"/>
      <w:r>
        <w:t>What are the legal conditions?</w:t>
      </w:r>
    </w:p>
    <w:bookmarkEnd w:id="19"/>
    <w:p w:rsidR="00134B0B" w:rsidRDefault="00134B0B" w:rsidP="00134B0B">
      <w:pPr>
        <w:pStyle w:val="ListParagraph"/>
        <w:numPr>
          <w:ilvl w:val="1"/>
          <w:numId w:val="3"/>
        </w:numPr>
      </w:pPr>
      <w:r w:rsidRPr="00134B0B">
        <w:rPr>
          <w:b/>
        </w:rPr>
        <w:t>Personal Data</w:t>
      </w:r>
      <w:r>
        <w:t xml:space="preserve"> can be lawfully processed for the using the following conditions:</w:t>
      </w:r>
    </w:p>
    <w:p w:rsidR="00134B0B" w:rsidRDefault="00134B0B" w:rsidP="00134B0B">
      <w:pPr>
        <w:pStyle w:val="ListParagraph"/>
        <w:numPr>
          <w:ilvl w:val="2"/>
          <w:numId w:val="3"/>
        </w:numPr>
      </w:pPr>
      <w:r>
        <w:t>Consent</w:t>
      </w:r>
    </w:p>
    <w:p w:rsidR="00134B0B" w:rsidRDefault="00134B0B" w:rsidP="00134B0B">
      <w:pPr>
        <w:pStyle w:val="ListParagraph"/>
        <w:numPr>
          <w:ilvl w:val="2"/>
          <w:numId w:val="3"/>
        </w:numPr>
      </w:pPr>
      <w:r>
        <w:t>Necessary to perform a contract obligation</w:t>
      </w:r>
    </w:p>
    <w:p w:rsidR="00134B0B" w:rsidRDefault="00134B0B" w:rsidP="00134B0B">
      <w:pPr>
        <w:pStyle w:val="ListParagraph"/>
        <w:numPr>
          <w:ilvl w:val="2"/>
          <w:numId w:val="3"/>
        </w:numPr>
      </w:pPr>
      <w:r>
        <w:t>Blue light emergency services</w:t>
      </w:r>
    </w:p>
    <w:p w:rsidR="00134B0B" w:rsidRDefault="00134B0B" w:rsidP="00134B0B">
      <w:pPr>
        <w:pStyle w:val="ListParagraph"/>
        <w:numPr>
          <w:ilvl w:val="2"/>
          <w:numId w:val="3"/>
        </w:numPr>
      </w:pPr>
      <w:r>
        <w:t>Statutory Duty</w:t>
      </w:r>
    </w:p>
    <w:p w:rsidR="00134B0B" w:rsidRDefault="00134B0B" w:rsidP="00134B0B">
      <w:pPr>
        <w:pStyle w:val="ListParagraph"/>
        <w:numPr>
          <w:ilvl w:val="2"/>
          <w:numId w:val="3"/>
        </w:numPr>
      </w:pPr>
      <w:r>
        <w:t>Legitimate Interests</w:t>
      </w:r>
    </w:p>
    <w:p w:rsidR="00134B0B" w:rsidRDefault="00134B0B" w:rsidP="00134B0B">
      <w:pPr>
        <w:pStyle w:val="ListParagraph"/>
        <w:numPr>
          <w:ilvl w:val="1"/>
          <w:numId w:val="3"/>
        </w:numPr>
      </w:pPr>
      <w:r w:rsidRPr="00134B0B">
        <w:rPr>
          <w:b/>
        </w:rPr>
        <w:t>Sensitive Personal Data</w:t>
      </w:r>
      <w:r>
        <w:t xml:space="preserve"> can be lawfully processed for the using the following conditions:</w:t>
      </w:r>
    </w:p>
    <w:p w:rsidR="00134B0B" w:rsidRDefault="00134B0B" w:rsidP="00134B0B">
      <w:pPr>
        <w:pStyle w:val="ListParagraph"/>
        <w:numPr>
          <w:ilvl w:val="2"/>
          <w:numId w:val="3"/>
        </w:numPr>
      </w:pPr>
      <w:r>
        <w:t>Explicit Consent</w:t>
      </w:r>
    </w:p>
    <w:p w:rsidR="00134B0B" w:rsidRDefault="00134B0B" w:rsidP="00134B0B">
      <w:pPr>
        <w:pStyle w:val="ListParagraph"/>
        <w:numPr>
          <w:ilvl w:val="2"/>
          <w:numId w:val="3"/>
        </w:numPr>
      </w:pPr>
      <w:r>
        <w:t>Employment, Social Security, Social Protection</w:t>
      </w:r>
    </w:p>
    <w:p w:rsidR="00134B0B" w:rsidRDefault="00134B0B" w:rsidP="00134B0B">
      <w:pPr>
        <w:pStyle w:val="ListParagraph"/>
        <w:numPr>
          <w:ilvl w:val="2"/>
          <w:numId w:val="3"/>
        </w:numPr>
      </w:pPr>
      <w:r>
        <w:t>Blue light emergency services</w:t>
      </w:r>
    </w:p>
    <w:p w:rsidR="00134B0B" w:rsidRDefault="00134B0B" w:rsidP="00134B0B">
      <w:pPr>
        <w:pStyle w:val="ListParagraph"/>
        <w:numPr>
          <w:ilvl w:val="2"/>
          <w:numId w:val="3"/>
        </w:numPr>
      </w:pPr>
      <w:r>
        <w:t>Legitimate Activities of ‘charities/not for profit’ organisations</w:t>
      </w:r>
    </w:p>
    <w:p w:rsidR="00134B0B" w:rsidRDefault="00134B0B" w:rsidP="00134B0B">
      <w:pPr>
        <w:pStyle w:val="ListParagraph"/>
        <w:numPr>
          <w:ilvl w:val="2"/>
          <w:numId w:val="3"/>
        </w:numPr>
      </w:pPr>
      <w:r>
        <w:t>Made Public by the person</w:t>
      </w:r>
    </w:p>
    <w:p w:rsidR="00134B0B" w:rsidRDefault="00134B0B" w:rsidP="00134B0B">
      <w:pPr>
        <w:pStyle w:val="ListParagraph"/>
        <w:numPr>
          <w:ilvl w:val="2"/>
          <w:numId w:val="3"/>
        </w:numPr>
      </w:pPr>
      <w:r>
        <w:t>For legal defence/claims</w:t>
      </w:r>
    </w:p>
    <w:p w:rsidR="00134B0B" w:rsidRDefault="00134B0B" w:rsidP="00134B0B">
      <w:pPr>
        <w:pStyle w:val="ListParagraph"/>
        <w:numPr>
          <w:ilvl w:val="2"/>
          <w:numId w:val="3"/>
        </w:numPr>
      </w:pPr>
      <w:r>
        <w:t>Substantial Public Interest</w:t>
      </w:r>
    </w:p>
    <w:p w:rsidR="00134B0B" w:rsidRDefault="00134B0B" w:rsidP="00134B0B">
      <w:pPr>
        <w:pStyle w:val="ListParagraph"/>
        <w:numPr>
          <w:ilvl w:val="2"/>
          <w:numId w:val="3"/>
        </w:numPr>
      </w:pPr>
      <w:r>
        <w:t>Health &amp; Social Care provision and management</w:t>
      </w:r>
    </w:p>
    <w:p w:rsidR="00134B0B" w:rsidRDefault="00134B0B" w:rsidP="00134B0B">
      <w:pPr>
        <w:pStyle w:val="ListParagraph"/>
        <w:numPr>
          <w:ilvl w:val="2"/>
          <w:numId w:val="3"/>
        </w:numPr>
      </w:pPr>
      <w:r>
        <w:t>Pan UK Public Health (Epidemics)</w:t>
      </w:r>
    </w:p>
    <w:p w:rsidR="00134B0B" w:rsidRDefault="00134B0B" w:rsidP="00134B0B">
      <w:pPr>
        <w:pStyle w:val="ListParagraph"/>
        <w:numPr>
          <w:ilvl w:val="2"/>
          <w:numId w:val="3"/>
        </w:numPr>
      </w:pPr>
      <w:r>
        <w:t>Archiving for scientific/historical research or statistical purposes</w:t>
      </w:r>
    </w:p>
    <w:p w:rsidR="00134B0B" w:rsidRDefault="004A7093" w:rsidP="00134B0B">
      <w:pPr>
        <w:pStyle w:val="ListParagraph"/>
      </w:pPr>
      <w:hyperlink w:anchor="Back5" w:history="1">
        <w:r w:rsidR="00134B0B" w:rsidRPr="00134B0B">
          <w:rPr>
            <w:rStyle w:val="Hyperlink"/>
          </w:rPr>
          <w:t>Back</w:t>
        </w:r>
      </w:hyperlink>
    </w:p>
    <w:p w:rsidR="00134B0B" w:rsidRDefault="00134B0B" w:rsidP="00134B0B">
      <w:pPr>
        <w:pStyle w:val="ListParagraph"/>
        <w:numPr>
          <w:ilvl w:val="0"/>
          <w:numId w:val="3"/>
        </w:numPr>
      </w:pPr>
      <w:bookmarkStart w:id="20" w:name="LegInt"/>
      <w:r>
        <w:t>Legitimate Interests cannot be used as a processing condition other then I exceptional circumstances</w:t>
      </w:r>
    </w:p>
    <w:p w:rsidR="00134B0B" w:rsidRDefault="004A7093" w:rsidP="00134B0B">
      <w:pPr>
        <w:pStyle w:val="ListParagraph"/>
      </w:pPr>
      <w:hyperlink w:anchor="Back6" w:history="1">
        <w:r w:rsidR="00134B0B" w:rsidRPr="00134B0B">
          <w:rPr>
            <w:rStyle w:val="Hyperlink"/>
          </w:rPr>
          <w:t>Back</w:t>
        </w:r>
      </w:hyperlink>
    </w:p>
    <w:p w:rsidR="00134B0B" w:rsidRDefault="00134B0B" w:rsidP="00134B0B">
      <w:pPr>
        <w:pStyle w:val="ListParagraph"/>
        <w:numPr>
          <w:ilvl w:val="0"/>
          <w:numId w:val="3"/>
        </w:numPr>
      </w:pPr>
      <w:bookmarkStart w:id="21" w:name="EEA"/>
      <w:r>
        <w:t>Any country outside of the European Economic Area (EU countries, plus Iceland, Lichtenstein and Norway) is not considered to have the same legal protections as the UK</w:t>
      </w:r>
    </w:p>
    <w:p w:rsidR="00134B0B" w:rsidRDefault="004A7093" w:rsidP="00134B0B">
      <w:pPr>
        <w:pStyle w:val="ListParagraph"/>
      </w:pPr>
      <w:hyperlink w:anchor="Back7" w:history="1">
        <w:r w:rsidR="00134B0B" w:rsidRPr="00134B0B">
          <w:rPr>
            <w:rStyle w:val="Hyperlink"/>
          </w:rPr>
          <w:t>Back</w:t>
        </w:r>
      </w:hyperlink>
    </w:p>
    <w:p w:rsidR="00134B0B" w:rsidRDefault="00134B0B" w:rsidP="00134B0B">
      <w:pPr>
        <w:pStyle w:val="ListParagraph"/>
        <w:numPr>
          <w:ilvl w:val="0"/>
          <w:numId w:val="3"/>
        </w:numPr>
      </w:pPr>
      <w:bookmarkStart w:id="22" w:name="Inform"/>
      <w:r>
        <w:lastRenderedPageBreak/>
        <w:t>The right to inform requires you to tell people about how their rights are managed including if information is rectified, modified, erased or restricted</w:t>
      </w:r>
    </w:p>
    <w:p w:rsidR="00134B0B" w:rsidRDefault="004A7093" w:rsidP="00134B0B">
      <w:pPr>
        <w:pStyle w:val="ListParagraph"/>
      </w:pPr>
      <w:hyperlink w:anchor="Back8" w:history="1">
        <w:r w:rsidR="00134B0B" w:rsidRPr="00134B0B">
          <w:rPr>
            <w:rStyle w:val="Hyperlink"/>
          </w:rPr>
          <w:t>Back</w:t>
        </w:r>
      </w:hyperlink>
    </w:p>
    <w:p w:rsidR="00134B0B" w:rsidRDefault="00134B0B" w:rsidP="00134B0B">
      <w:pPr>
        <w:pStyle w:val="ListParagraph"/>
        <w:numPr>
          <w:ilvl w:val="0"/>
          <w:numId w:val="3"/>
        </w:numPr>
      </w:pPr>
      <w:bookmarkStart w:id="23" w:name="Access"/>
      <w:bookmarkEnd w:id="22"/>
      <w:r>
        <w:t>The right to access means you must be able to provide a copy of a person’s data to them upon written request</w:t>
      </w:r>
    </w:p>
    <w:p w:rsidR="00134B0B" w:rsidRDefault="004A7093" w:rsidP="00134B0B">
      <w:pPr>
        <w:pStyle w:val="ListParagraph"/>
      </w:pPr>
      <w:hyperlink w:anchor="Back9" w:history="1">
        <w:r w:rsidR="00134B0B" w:rsidRPr="00134B0B">
          <w:rPr>
            <w:rStyle w:val="Hyperlink"/>
          </w:rPr>
          <w:t>Back</w:t>
        </w:r>
      </w:hyperlink>
    </w:p>
    <w:p w:rsidR="00134B0B" w:rsidRDefault="00134B0B" w:rsidP="00134B0B">
      <w:pPr>
        <w:pStyle w:val="ListParagraph"/>
      </w:pPr>
    </w:p>
    <w:p w:rsidR="00134B0B" w:rsidRDefault="00134B0B" w:rsidP="00134B0B">
      <w:pPr>
        <w:pStyle w:val="ListParagraph"/>
        <w:numPr>
          <w:ilvl w:val="0"/>
          <w:numId w:val="3"/>
        </w:numPr>
      </w:pPr>
      <w:bookmarkStart w:id="24" w:name="Rect"/>
      <w:bookmarkEnd w:id="23"/>
      <w:r>
        <w:t xml:space="preserve">The right to rectify requires you to correct inaccurate data.  This may not always be possible if it relates to an official record or a professional opinion recorded by your staff.  If this is the </w:t>
      </w:r>
      <w:proofErr w:type="gramStart"/>
      <w:r>
        <w:t>case</w:t>
      </w:r>
      <w:proofErr w:type="gramEnd"/>
      <w:r>
        <w:t xml:space="preserve"> you should not tick this box</w:t>
      </w:r>
    </w:p>
    <w:p w:rsidR="00134B0B" w:rsidRDefault="004A7093" w:rsidP="00134B0B">
      <w:pPr>
        <w:pStyle w:val="ListParagraph"/>
      </w:pPr>
      <w:hyperlink w:anchor="Back10" w:history="1">
        <w:r w:rsidR="00134B0B" w:rsidRPr="00134B0B">
          <w:rPr>
            <w:rStyle w:val="Hyperlink"/>
          </w:rPr>
          <w:t>Back</w:t>
        </w:r>
      </w:hyperlink>
    </w:p>
    <w:p w:rsidR="00134B0B" w:rsidRDefault="00134B0B" w:rsidP="00134B0B">
      <w:pPr>
        <w:pStyle w:val="ListParagraph"/>
        <w:numPr>
          <w:ilvl w:val="0"/>
          <w:numId w:val="3"/>
        </w:numPr>
      </w:pPr>
      <w:bookmarkStart w:id="25" w:name="Erase"/>
      <w:r>
        <w:t xml:space="preserve">The right to erasure requires you to securely destroy the data you hold.  This may not always be possible if it relates to an official record or a professional opinion recorded by your staff.  If this is the </w:t>
      </w:r>
      <w:proofErr w:type="gramStart"/>
      <w:r>
        <w:t>case</w:t>
      </w:r>
      <w:proofErr w:type="gramEnd"/>
      <w:r>
        <w:t xml:space="preserve"> you should not tick this box</w:t>
      </w:r>
    </w:p>
    <w:p w:rsidR="00134B0B" w:rsidRDefault="004A7093" w:rsidP="00134B0B">
      <w:pPr>
        <w:pStyle w:val="ListParagraph"/>
      </w:pPr>
      <w:hyperlink w:anchor="Back11" w:history="1">
        <w:r w:rsidR="00134B0B" w:rsidRPr="00134B0B">
          <w:rPr>
            <w:rStyle w:val="Hyperlink"/>
          </w:rPr>
          <w:t>Back</w:t>
        </w:r>
      </w:hyperlink>
    </w:p>
    <w:p w:rsidR="00134B0B" w:rsidRDefault="00134B0B" w:rsidP="00134B0B">
      <w:pPr>
        <w:pStyle w:val="ListParagraph"/>
        <w:numPr>
          <w:ilvl w:val="0"/>
          <w:numId w:val="3"/>
        </w:numPr>
      </w:pPr>
      <w:bookmarkStart w:id="26" w:name="Restrict"/>
      <w:bookmarkEnd w:id="25"/>
      <w:r>
        <w:t xml:space="preserve">The right to restrict requires you to stop processing data (other than keeping it secure) whilst a complaint is resolved.  This may not always be possible if it relates to an official record or a professional opinion recorded by your staff.  If this is the </w:t>
      </w:r>
      <w:proofErr w:type="gramStart"/>
      <w:r>
        <w:t>case</w:t>
      </w:r>
      <w:proofErr w:type="gramEnd"/>
      <w:r>
        <w:t xml:space="preserve"> you should not tick this box</w:t>
      </w:r>
    </w:p>
    <w:p w:rsidR="00134B0B" w:rsidRDefault="004A7093" w:rsidP="00134B0B">
      <w:pPr>
        <w:pStyle w:val="ListParagraph"/>
      </w:pPr>
      <w:hyperlink w:anchor="Back12" w:history="1">
        <w:r w:rsidR="00134B0B" w:rsidRPr="00134B0B">
          <w:rPr>
            <w:rStyle w:val="Hyperlink"/>
          </w:rPr>
          <w:t>Back</w:t>
        </w:r>
      </w:hyperlink>
    </w:p>
    <w:p w:rsidR="00134B0B" w:rsidRDefault="00134B0B" w:rsidP="00134B0B">
      <w:pPr>
        <w:pStyle w:val="ListParagraph"/>
        <w:numPr>
          <w:ilvl w:val="0"/>
          <w:numId w:val="3"/>
        </w:numPr>
      </w:pPr>
      <w:bookmarkStart w:id="27" w:name="Portability"/>
      <w:bookmarkEnd w:id="26"/>
      <w:r>
        <w:t xml:space="preserve">The right to Data Portability only applies when a service is based on ‘Consent’ and then only if it involves technology </w:t>
      </w:r>
    </w:p>
    <w:p w:rsidR="00134B0B" w:rsidRDefault="004A7093" w:rsidP="00134B0B">
      <w:pPr>
        <w:pStyle w:val="ListParagraph"/>
      </w:pPr>
      <w:hyperlink w:anchor="Back13" w:history="1">
        <w:r w:rsidR="00134B0B" w:rsidRPr="00134B0B">
          <w:rPr>
            <w:rStyle w:val="Hyperlink"/>
          </w:rPr>
          <w:t>Back</w:t>
        </w:r>
      </w:hyperlink>
    </w:p>
    <w:p w:rsidR="00134B0B" w:rsidRDefault="00134B0B" w:rsidP="00134B0B">
      <w:pPr>
        <w:pStyle w:val="ListParagraph"/>
        <w:numPr>
          <w:ilvl w:val="0"/>
          <w:numId w:val="3"/>
        </w:numPr>
      </w:pPr>
      <w:bookmarkStart w:id="28" w:name="Object"/>
      <w:r>
        <w:t>The right to object requires you to stop using the data for the purposes for which it was collected.  This does not apply to any legal obligations to process the data, but does apply for any processing under Consent, e.g. marketing or profiling</w:t>
      </w:r>
    </w:p>
    <w:p w:rsidR="00134B0B" w:rsidRDefault="004A7093" w:rsidP="00134B0B">
      <w:pPr>
        <w:pStyle w:val="ListParagraph"/>
      </w:pPr>
      <w:hyperlink w:anchor="Back14" w:history="1">
        <w:r w:rsidR="00134B0B" w:rsidRPr="00134B0B">
          <w:rPr>
            <w:rStyle w:val="Hyperlink"/>
          </w:rPr>
          <w:t>Back</w:t>
        </w:r>
      </w:hyperlink>
    </w:p>
    <w:p w:rsidR="00134B0B" w:rsidRDefault="00134B0B" w:rsidP="00134B0B">
      <w:pPr>
        <w:pStyle w:val="ListParagraph"/>
        <w:numPr>
          <w:ilvl w:val="0"/>
          <w:numId w:val="3"/>
        </w:numPr>
      </w:pPr>
      <w:bookmarkStart w:id="29" w:name="Auto"/>
      <w:bookmarkEnd w:id="28"/>
      <w:r>
        <w:t xml:space="preserve">The right to refuse automated decision making means if a computer makes a decision about how you will deliver a service to a person; they have the right to request the decision to be made by a human Being. </w:t>
      </w:r>
    </w:p>
    <w:p w:rsidR="00134B0B" w:rsidRDefault="004A7093" w:rsidP="00134B0B">
      <w:pPr>
        <w:pStyle w:val="ListParagraph"/>
      </w:pPr>
      <w:hyperlink w:anchor="Back15" w:history="1">
        <w:r w:rsidR="00134B0B" w:rsidRPr="00134B0B">
          <w:rPr>
            <w:rStyle w:val="Hyperlink"/>
          </w:rPr>
          <w:t>Back</w:t>
        </w:r>
      </w:hyperlink>
    </w:p>
    <w:p w:rsidR="00134B0B" w:rsidRDefault="00134B0B" w:rsidP="00134B0B">
      <w:pPr>
        <w:pStyle w:val="ListParagraph"/>
      </w:pPr>
    </w:p>
    <w:bookmarkEnd w:id="20"/>
    <w:bookmarkEnd w:id="21"/>
    <w:bookmarkEnd w:id="24"/>
    <w:bookmarkEnd w:id="27"/>
    <w:bookmarkEnd w:id="29"/>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sectPr w:rsidR="00134B0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FAA" w:rsidRDefault="00ED0FAA" w:rsidP="00B438B9">
      <w:pPr>
        <w:spacing w:after="0" w:line="240" w:lineRule="auto"/>
      </w:pPr>
      <w:r>
        <w:separator/>
      </w:r>
    </w:p>
  </w:endnote>
  <w:endnote w:type="continuationSeparator" w:id="0">
    <w:p w:rsidR="00ED0FAA" w:rsidRDefault="00ED0FAA" w:rsidP="00B4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8B9" w:rsidRDefault="00B438B9" w:rsidP="00B438B9">
    <w:pPr>
      <w:ind w:left="-993"/>
      <w:rPr>
        <w:rFonts w:ascii="Arial" w:hAnsi="Arial" w:cs="Arial"/>
        <w:sz w:val="20"/>
        <w:szCs w:val="24"/>
      </w:rPr>
    </w:pPr>
    <w:r>
      <w:rPr>
        <w:rFonts w:ascii="Arial" w:hAnsi="Arial" w:cs="Arial"/>
        <w:b/>
        <w:bCs/>
        <w:sz w:val="20"/>
        <w:szCs w:val="24"/>
      </w:rPr>
      <w:t>© Essex County Council</w:t>
    </w:r>
    <w:r>
      <w:rPr>
        <w:rFonts w:ascii="Arial" w:hAnsi="Arial" w:cs="Arial"/>
        <w:sz w:val="20"/>
        <w:szCs w:val="24"/>
      </w:rPr>
      <w:t xml:space="preserve">.  </w:t>
    </w:r>
  </w:p>
  <w:p w:rsidR="00B438B9" w:rsidRDefault="00B438B9" w:rsidP="00B438B9">
    <w:pPr>
      <w:ind w:left="-993" w:right="-1039"/>
      <w:rPr>
        <w:rFonts w:ascii="Arial" w:hAnsi="Arial" w:cs="Arial"/>
        <w:sz w:val="20"/>
        <w:szCs w:val="24"/>
      </w:rPr>
    </w:pPr>
    <w:r>
      <w:rPr>
        <w:rFonts w:ascii="Arial" w:hAnsi="Arial" w:cs="Arial"/>
        <w:sz w:val="20"/>
        <w:szCs w:val="24"/>
      </w:rPr>
      <w:t xml:space="preserve">All rights </w:t>
    </w:r>
    <w:proofErr w:type="gramStart"/>
    <w:r>
      <w:rPr>
        <w:rFonts w:ascii="Arial" w:hAnsi="Arial" w:cs="Arial"/>
        <w:sz w:val="20"/>
        <w:szCs w:val="24"/>
      </w:rPr>
      <w:t>reserved,  Essex</w:t>
    </w:r>
    <w:proofErr w:type="gramEnd"/>
    <w:r>
      <w:rPr>
        <w:rFonts w:ascii="Arial" w:hAnsi="Arial" w:cs="Arial"/>
        <w:sz w:val="20"/>
        <w:szCs w:val="24"/>
      </w:rPr>
      <w:t xml:space="preserve"> County Council grants its customers who have purchased a licence to use this document for the purposes of the administration and operation of the school to whom it has been sold.  For those purposes customers are permitted to use, adapt, publish and copy this document provided that every adapted or published version of this document must include this copyright notice in full.  No other use by other organisations or outside the terms of the permitted use stated above is permitted without the prior written permission of Essex County Council. Those infringing Essex County Council’s copyright may be subject to prosecution, claims for damages or other legal action.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FAA" w:rsidRDefault="00ED0FAA" w:rsidP="00B438B9">
      <w:pPr>
        <w:spacing w:after="0" w:line="240" w:lineRule="auto"/>
      </w:pPr>
      <w:r>
        <w:separator/>
      </w:r>
    </w:p>
  </w:footnote>
  <w:footnote w:type="continuationSeparator" w:id="0">
    <w:p w:rsidR="00ED0FAA" w:rsidRDefault="00ED0FAA" w:rsidP="00B43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854B5"/>
    <w:multiLevelType w:val="hybridMultilevel"/>
    <w:tmpl w:val="548622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E24F47"/>
    <w:multiLevelType w:val="hybridMultilevel"/>
    <w:tmpl w:val="41DE6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BA7A5B"/>
    <w:multiLevelType w:val="hybridMultilevel"/>
    <w:tmpl w:val="991A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B3"/>
    <w:rsid w:val="000426EF"/>
    <w:rsid w:val="00096FA4"/>
    <w:rsid w:val="00134B0B"/>
    <w:rsid w:val="00293C1A"/>
    <w:rsid w:val="002F05E1"/>
    <w:rsid w:val="0042437D"/>
    <w:rsid w:val="004A7093"/>
    <w:rsid w:val="005804DB"/>
    <w:rsid w:val="00592EA7"/>
    <w:rsid w:val="00937804"/>
    <w:rsid w:val="00957FC8"/>
    <w:rsid w:val="00991691"/>
    <w:rsid w:val="0099362E"/>
    <w:rsid w:val="00997D8D"/>
    <w:rsid w:val="009E2A67"/>
    <w:rsid w:val="00B438B9"/>
    <w:rsid w:val="00B674B2"/>
    <w:rsid w:val="00C524E7"/>
    <w:rsid w:val="00D031B3"/>
    <w:rsid w:val="00D521A9"/>
    <w:rsid w:val="00D658E0"/>
    <w:rsid w:val="00E15BB5"/>
    <w:rsid w:val="00ED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85E7"/>
  <w15:docId w15:val="{9C4EBFB5-6B45-49D2-8E71-393461D2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31B3"/>
    <w:pPr>
      <w:spacing w:after="0" w:line="240" w:lineRule="auto"/>
    </w:pPr>
    <w:rPr>
      <w:rFonts w:ascii="Arial" w:eastAsia="Calibri" w:hAnsi="Arial" w:cs="Arial"/>
      <w:sz w:val="24"/>
      <w:szCs w:val="24"/>
      <w:lang w:eastAsia="en-GB"/>
    </w:rPr>
  </w:style>
  <w:style w:type="character" w:styleId="Hyperlink">
    <w:name w:val="Hyperlink"/>
    <w:basedOn w:val="DefaultParagraphFont"/>
    <w:uiPriority w:val="99"/>
    <w:unhideWhenUsed/>
    <w:rsid w:val="00D031B3"/>
    <w:rPr>
      <w:color w:val="0563C1" w:themeColor="hyperlink"/>
      <w:u w:val="single"/>
    </w:rPr>
  </w:style>
  <w:style w:type="character" w:customStyle="1" w:styleId="NoSpacingChar">
    <w:name w:val="No Spacing Char"/>
    <w:link w:val="NoSpacing"/>
    <w:uiPriority w:val="1"/>
    <w:rsid w:val="00D031B3"/>
    <w:rPr>
      <w:rFonts w:ascii="Arial" w:eastAsia="Calibri" w:hAnsi="Arial" w:cs="Arial"/>
      <w:sz w:val="24"/>
      <w:szCs w:val="24"/>
      <w:lang w:eastAsia="en-GB"/>
    </w:rPr>
  </w:style>
  <w:style w:type="table" w:styleId="TableGrid">
    <w:name w:val="Table Grid"/>
    <w:basedOn w:val="TableNormal"/>
    <w:uiPriority w:val="59"/>
    <w:rsid w:val="00D031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6EF"/>
    <w:rPr>
      <w:rFonts w:ascii="Tahoma" w:hAnsi="Tahoma" w:cs="Tahoma"/>
      <w:sz w:val="16"/>
      <w:szCs w:val="16"/>
    </w:rPr>
  </w:style>
  <w:style w:type="paragraph" w:styleId="ListParagraph">
    <w:name w:val="List Paragraph"/>
    <w:basedOn w:val="Normal"/>
    <w:uiPriority w:val="34"/>
    <w:qFormat/>
    <w:rsid w:val="00134B0B"/>
    <w:pPr>
      <w:ind w:left="720"/>
      <w:contextualSpacing/>
    </w:pPr>
  </w:style>
  <w:style w:type="character" w:styleId="FollowedHyperlink">
    <w:name w:val="FollowedHyperlink"/>
    <w:basedOn w:val="DefaultParagraphFont"/>
    <w:uiPriority w:val="99"/>
    <w:semiHidden/>
    <w:unhideWhenUsed/>
    <w:rsid w:val="00134B0B"/>
    <w:rPr>
      <w:color w:val="954F72" w:themeColor="followedHyperlink"/>
      <w:u w:val="single"/>
    </w:rPr>
  </w:style>
  <w:style w:type="paragraph" w:styleId="Header">
    <w:name w:val="header"/>
    <w:basedOn w:val="Normal"/>
    <w:link w:val="HeaderChar"/>
    <w:uiPriority w:val="99"/>
    <w:unhideWhenUsed/>
    <w:rsid w:val="00B43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B9"/>
  </w:style>
  <w:style w:type="paragraph" w:styleId="Footer">
    <w:name w:val="footer"/>
    <w:basedOn w:val="Normal"/>
    <w:link w:val="FooterChar"/>
    <w:uiPriority w:val="99"/>
    <w:unhideWhenUsed/>
    <w:rsid w:val="00B43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5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data-protection-reform/overview-of-the-gdp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concerns/handling/" TargetMode="External"/><Relationship Id="rId4" Type="http://schemas.openxmlformats.org/officeDocument/2006/relationships/settings" Target="settings.xml"/><Relationship Id="rId9" Type="http://schemas.openxmlformats.org/officeDocument/2006/relationships/hyperlink" Target="http://eur-lex.europa.eu/legal-content/EN/TXT/PDF/?uri=CELEX:32016R0679&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4E261-2D12-422B-8AAC-81C0F273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Humphreys</dc:creator>
  <cp:lastModifiedBy>Emily Brown</cp:lastModifiedBy>
  <cp:revision>2</cp:revision>
  <dcterms:created xsi:type="dcterms:W3CDTF">2018-09-14T14:58:00Z</dcterms:created>
  <dcterms:modified xsi:type="dcterms:W3CDTF">2018-09-21T10:25:00Z</dcterms:modified>
</cp:coreProperties>
</file>